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w:pic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1"/>
          <w:strike w:val="0"/>
          <w:color w:val="ed7d31"/>
          <w:sz w:val="24"/>
          <w:szCs w:val="24"/>
          <w:u w:val="single"/>
          <w:shd w:fill="auto" w:val="clear"/>
          <w:vertAlign w:val="baseline"/>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4746088</wp:posOffset>
            </wp:positionH>
            <wp:positionV relativeFrom="paragraph">
              <wp:posOffset>-313054</wp:posOffset>
            </wp:positionV>
            <wp:extent cx="1453515" cy="401955"/>
            <wp:effectExtent b="0" l="0" r="0" t="0"/>
            <wp:wrapSquare wrapText="bothSides" distB="0" distT="0" distL="0" distR="0"/>
            <wp:docPr descr="The Alliance Logo.png" id="12" name="image1.png"/>
            <a:graphic>
              <a:graphicData uri="http://schemas.openxmlformats.org/drawingml/2006/picture">
                <pic:pic>
                  <pic:nvPicPr>
                    <pic:cNvPr descr="The Alliance Logo.png" id="0" name="image1.png"/>
                    <pic:cNvPicPr preferRelativeResize="0"/>
                  </pic:nvPicPr>
                  <pic:blipFill>
                    <a:blip r:embed="rId8"/>
                    <a:srcRect b="0" l="0" r="0" t="0"/>
                    <a:stretch>
                      <a:fillRect/>
                    </a:stretch>
                  </pic:blipFill>
                  <pic:spPr>
                    <a:xfrm>
                      <a:off x="0" y="0"/>
                      <a:ext cx="1453515" cy="401955"/>
                    </a:xfrm>
                    <a:prstGeom prst="rect"/>
                    <a:ln/>
                  </pic:spPr>
                </pic:pic>
              </a:graphicData>
            </a:graphic>
          </wp:anchor>
        </w:drawing>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a6a6a6"/>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405d78"/>
          <w:sz w:val="40"/>
          <w:szCs w:val="40"/>
          <w:u w:val="none"/>
          <w:shd w:fill="auto" w:val="clear"/>
          <w:vertAlign w:val="baseline"/>
        </w:rPr>
      </w:pPr>
      <w:r w:rsidDel="00000000" w:rsidR="00000000" w:rsidRPr="00000000">
        <w:rPr>
          <w:rFonts w:ascii="Calibri" w:cs="Calibri" w:eastAsia="Calibri" w:hAnsi="Calibri"/>
          <w:b w:val="1"/>
          <w:i w:val="0"/>
          <w:smallCaps w:val="0"/>
          <w:strike w:val="0"/>
          <w:color w:val="405d78"/>
          <w:sz w:val="40"/>
          <w:szCs w:val="40"/>
          <w:u w:val="none"/>
          <w:shd w:fill="auto" w:val="clear"/>
          <w:vertAlign w:val="baseline"/>
          <w:rtl w:val="0"/>
        </w:rPr>
        <w:t xml:space="preserve">LISTA DE TÉRMINOS CLAVES </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405d78"/>
          <w:sz w:val="40"/>
          <w:szCs w:val="40"/>
          <w:u w:val="none"/>
          <w:shd w:fill="auto" w:val="clear"/>
          <w:vertAlign w:val="baseline"/>
        </w:rPr>
      </w:pPr>
      <w:r w:rsidDel="00000000" w:rsidR="00000000" w:rsidRPr="00000000">
        <w:rPr>
          <w:rFonts w:ascii="Calibri" w:cs="Calibri" w:eastAsia="Calibri" w:hAnsi="Calibri"/>
          <w:b w:val="1"/>
          <w:i w:val="0"/>
          <w:smallCaps w:val="0"/>
          <w:strike w:val="0"/>
          <w:color w:val="405d78"/>
          <w:sz w:val="40"/>
          <w:szCs w:val="40"/>
          <w:u w:val="none"/>
          <w:shd w:fill="auto" w:val="clear"/>
          <w:vertAlign w:val="baseline"/>
          <w:rtl w:val="0"/>
        </w:rPr>
        <w:t xml:space="preserve">QUE SE USAN EN LOS FORMULARIOS</w:t>
      </w:r>
      <w:r w:rsidDel="00000000" w:rsidR="00000000" w:rsidRPr="00000000">
        <w:rPr>
          <w:rFonts w:ascii="Arial" w:cs="Arial" w:eastAsia="Arial" w:hAnsi="Arial"/>
          <w:b w:val="1"/>
          <w:i w:val="0"/>
          <w:smallCaps w:val="0"/>
          <w:strike w:val="0"/>
          <w:color w:val="405d78"/>
          <w:sz w:val="40"/>
          <w:szCs w:val="40"/>
          <w:u w:val="none"/>
          <w:shd w:fill="auto" w:val="clear"/>
          <w:vertAlign w:val="superscript"/>
        </w:rPr>
        <w:footnoteReference w:customMarkFollows="0" w:id="0"/>
      </w: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spacing w:after="0" w:line="240" w:lineRule="auto"/>
        <w:rPr>
          <w:color w:val="000000"/>
        </w:rPr>
      </w:pP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Abandono</w:t>
      </w:r>
    </w:p>
    <w:p w:rsidR="00000000" w:rsidDel="00000000" w:rsidP="00000000" w:rsidRDefault="00000000" w:rsidRPr="00000000" w14:paraId="00000009">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Cuando el cuidador deja de mantener contacto con el niño/a o de proveer apoyo razonable durante un determinado espacio de tiempo.</w:t>
      </w:r>
    </w:p>
    <w:p w:rsidR="00000000" w:rsidDel="00000000" w:rsidP="00000000" w:rsidRDefault="00000000" w:rsidRPr="00000000" w14:paraId="0000000A">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Cuidado alternativo</w:t>
      </w:r>
    </w:p>
    <w:p w:rsidR="00000000" w:rsidDel="00000000" w:rsidP="00000000" w:rsidRDefault="00000000" w:rsidRPr="00000000" w14:paraId="0000000C">
      <w:pPr>
        <w:spacing w:after="0" w:line="240" w:lineRule="auto"/>
        <w:rPr>
          <w:color w:val="000000"/>
        </w:rPr>
      </w:pPr>
      <w:r w:rsidDel="00000000" w:rsidR="00000000" w:rsidRPr="00000000">
        <w:rPr>
          <w:rtl w:val="0"/>
        </w:rPr>
        <w:t xml:space="preserve">El cuidado alternativo es el cuidado proporcionado a los niños y niñas por cuidadores o cuidadoras que no son sus padres biológicos. Este cuidado puede asumir la forma de acogimiento informal o formal. </w:t>
      </w:r>
      <w:r w:rsidDel="00000000" w:rsidR="00000000" w:rsidRPr="00000000">
        <w:rPr>
          <w:color w:val="000000"/>
          <w:rtl w:val="0"/>
        </w:rPr>
        <w:t xml:space="preserve">Existe variedades del cuidado alternativo y éstas incluyen el cuidado bajo parientes y familiares, el acogimiento temporal, el acogimiento bajo el cuidado de otro hogar o en entornos similares al familiar, el acogimiento residencial o alojamiento independiente de niños/as bajo supervisión. </w:t>
      </w:r>
    </w:p>
    <w:p w:rsidR="00000000" w:rsidDel="00000000" w:rsidP="00000000" w:rsidRDefault="00000000" w:rsidRPr="00000000" w14:paraId="0000000D">
      <w:pPr>
        <w:spacing w:after="0" w:line="240" w:lineRule="auto"/>
        <w:rPr>
          <w:color w:val="000000"/>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Autorización</w:t>
      </w:r>
    </w:p>
    <w:p w:rsidR="00000000" w:rsidDel="00000000" w:rsidP="00000000" w:rsidRDefault="00000000" w:rsidRPr="00000000" w14:paraId="0000000F">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La voluntad comunicada explícitamente de querer participar para recibir servicios. En el caso de niños muy pequeños que por definición son demasiado jóvenes para dar consentimiento informado, pero son lo bastantemente mayores para entender y tomar la decisión de querer recibir servicios, se podrá pedir el “asentimiento informado.”</w:t>
      </w:r>
    </w:p>
    <w:p w:rsidR="00000000" w:rsidDel="00000000" w:rsidP="00000000" w:rsidRDefault="00000000" w:rsidRPr="00000000" w14:paraId="00000010">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Valoración</w:t>
      </w:r>
    </w:p>
    <w:p w:rsidR="00000000" w:rsidDel="00000000" w:rsidP="00000000" w:rsidRDefault="00000000" w:rsidRPr="00000000" w14:paraId="00000012">
      <w:pPr>
        <w:spacing w:after="0" w:line="240" w:lineRule="auto"/>
        <w:rPr>
          <w:color w:val="000000"/>
        </w:rPr>
      </w:pPr>
      <w:r w:rsidDel="00000000" w:rsidR="00000000" w:rsidRPr="00000000">
        <w:rPr>
          <w:color w:val="000000"/>
          <w:rtl w:val="0"/>
        </w:rPr>
        <w:t xml:space="preserve">El proceso de averiguar, reunir y analizar información con el fin de formar un entendimiento profesional sobre la situación del niño/a.</w:t>
      </w:r>
    </w:p>
    <w:p w:rsidR="00000000" w:rsidDel="00000000" w:rsidP="00000000" w:rsidRDefault="00000000" w:rsidRPr="00000000" w14:paraId="00000013">
      <w:pPr>
        <w:spacing w:after="0" w:line="240" w:lineRule="auto"/>
        <w:rPr>
          <w:color w:val="000000"/>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Esfera básica de salud mental y apoyo psicosocial</w:t>
      </w:r>
    </w:p>
    <w:p w:rsidR="00000000" w:rsidDel="00000000" w:rsidP="00000000" w:rsidRDefault="00000000" w:rsidRPr="00000000" w14:paraId="00000015">
      <w:pPr>
        <w:shd w:fill="ffffff" w:val="clear"/>
        <w:spacing w:after="0" w:line="240" w:lineRule="auto"/>
        <w:rPr>
          <w:rFonts w:ascii="Calibri" w:cs="Calibri" w:eastAsia="Calibri" w:hAnsi="Calibri"/>
        </w:rPr>
      </w:pPr>
      <w:r w:rsidDel="00000000" w:rsidR="00000000" w:rsidRPr="00000000">
        <w:rPr>
          <w:rFonts w:ascii="Calibri" w:cs="Calibri" w:eastAsia="Calibri" w:hAnsi="Calibri"/>
          <w:rtl w:val="0"/>
        </w:rPr>
        <w:t xml:space="preserve">Son intervenciones de salud mental y apoyo psicosocial que se centran en fortalecer la familia y la comunidad como fuentes de apoyo. Ejemplos de medidas para el apoyo psicosocial fundamental incluyen actividades de desarrollo en edad temprana, actividades psicosociales estructuradas que se ofrecen en espacios amigables para niños/as y la juventud, actividades culturales, deportivos y de creatividad para niños/as de diferentes edades en el que también participan familias y miembros de la comunidad, aprendizaje de aptitudes y habilidades para la vida y grupos de soporte entre pares adolescentes, incluidos los grupos formados específicamente para las necesidades e intereses de las niñas y de los niños, grupos de apoyo para padres (madres y padres), para mujeres u otros cuidadores de niños/as y capacitación en competencias parentales.</w:t>
      </w:r>
    </w:p>
    <w:p w:rsidR="00000000" w:rsidDel="00000000" w:rsidP="00000000" w:rsidRDefault="00000000" w:rsidRPr="00000000" w14:paraId="00000016">
      <w:pPr>
        <w:shd w:fill="ffffff" w:val="clea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Evaluación del interés superior (BIA siglas en inglés) </w:t>
      </w:r>
    </w:p>
    <w:p w:rsidR="00000000" w:rsidDel="00000000" w:rsidP="00000000" w:rsidRDefault="00000000" w:rsidRPr="00000000" w14:paraId="00000018">
      <w:pPr>
        <w:spacing w:after="0" w:line="240" w:lineRule="auto"/>
        <w:rPr/>
      </w:pPr>
      <w:r w:rsidDel="00000000" w:rsidR="00000000" w:rsidRPr="00000000">
        <w:rPr>
          <w:rtl w:val="0"/>
        </w:rPr>
        <w:t xml:space="preserve">Una evaluación realizada por el personal que se ocupa de cada niño/a invidualmente, excepto cuando sea necesario el proceso BID, para garantizar que todas las acciones que se tomen sean en el interés superior del niño/a.</w:t>
      </w:r>
    </w:p>
    <w:p w:rsidR="00000000" w:rsidDel="00000000" w:rsidP="00000000" w:rsidRDefault="00000000" w:rsidRPr="00000000" w14:paraId="00000019">
      <w:pPr>
        <w:spacing w:after="0" w:line="240" w:lineRule="auto"/>
        <w:rPr/>
      </w:pPr>
      <w:r w:rsidDel="00000000" w:rsidR="00000000" w:rsidRPr="00000000">
        <w:rPr>
          <w:rtl w:val="0"/>
        </w:rPr>
        <w:t xml:space="preserve">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Determinación del interés superior del niño/a (BID siglas en inglés)</w:t>
      </w:r>
    </w:p>
    <w:p w:rsidR="00000000" w:rsidDel="00000000" w:rsidP="00000000" w:rsidRDefault="00000000" w:rsidRPr="00000000" w14:paraId="0000001B">
      <w:pPr>
        <w:spacing w:after="0" w:line="240" w:lineRule="auto"/>
        <w:rPr/>
      </w:pPr>
      <w:r w:rsidDel="00000000" w:rsidR="00000000" w:rsidRPr="00000000">
        <w:rPr>
          <w:rtl w:val="0"/>
        </w:rPr>
        <w:t xml:space="preserve">Un proceso formal de estrictas garantías procesales diseñadas para determinar el interés superior del niño/a especialmente cuando se toman decisiones importantes que conciernen al niño/a. </w:t>
      </w:r>
    </w:p>
    <w:p w:rsidR="00000000" w:rsidDel="00000000" w:rsidP="00000000" w:rsidRDefault="00000000" w:rsidRPr="00000000" w14:paraId="0000001C">
      <w:pPr>
        <w:spacing w:after="0" w:line="240" w:lineRule="auto"/>
        <w:rPr>
          <w:color w:val="000000"/>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Padre(s) biológicos</w:t>
      </w:r>
    </w:p>
    <w:p w:rsidR="00000000" w:rsidDel="00000000" w:rsidP="00000000" w:rsidRDefault="00000000" w:rsidRPr="00000000" w14:paraId="0000001E">
      <w:pPr>
        <w:spacing w:after="0" w:line="240" w:lineRule="auto"/>
        <w:rPr>
          <w:color w:val="000000"/>
        </w:rPr>
      </w:pPr>
      <w:r w:rsidDel="00000000" w:rsidR="00000000" w:rsidRPr="00000000">
        <w:rPr>
          <w:color w:val="000000"/>
          <w:rtl w:val="0"/>
        </w:rPr>
        <w:t xml:space="preserve">Los padres biológicos son aquellas personas que dieron nacimiento al niño/a, la familia natal del niño/a. Pueden ser ambos padres, si todavía son pareja o referirse solo a la madre o al padre.</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Caso / Niño/a</w:t>
      </w:r>
    </w:p>
    <w:p w:rsidR="00000000" w:rsidDel="00000000" w:rsidP="00000000" w:rsidRDefault="00000000" w:rsidRPr="00000000" w14:paraId="00000021">
      <w:pPr>
        <w:spacing w:after="0" w:line="240" w:lineRule="auto"/>
        <w:rPr>
          <w:color w:val="000000"/>
        </w:rPr>
      </w:pPr>
      <w:r w:rsidDel="00000000" w:rsidR="00000000" w:rsidRPr="00000000">
        <w:rPr>
          <w:color w:val="000000"/>
          <w:rtl w:val="0"/>
        </w:rPr>
        <w:t xml:space="preserve">Individuo en el plan de caso. Dependiendo del lugar, algunas personas pueden usar diferentes términos como por ejemplo “cliente” o “caso” para referirse al individuo en el plan de caso. Con respecto a los formularios, en especial los referentes al manejo de casos, se usa generalmente el término “caso”.</w:t>
      </w:r>
    </w:p>
    <w:p w:rsidR="00000000" w:rsidDel="00000000" w:rsidP="00000000" w:rsidRDefault="00000000" w:rsidRPr="00000000" w14:paraId="00000022">
      <w:pPr>
        <w:spacing w:after="0" w:line="240" w:lineRule="auto"/>
        <w:rPr>
          <w:color w:val="000000"/>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Cierre del caso</w:t>
      </w:r>
    </w:p>
    <w:p w:rsidR="00000000" w:rsidDel="00000000" w:rsidP="00000000" w:rsidRDefault="00000000" w:rsidRPr="00000000" w14:paraId="00000024">
      <w:pPr>
        <w:spacing w:after="0" w:line="240" w:lineRule="auto"/>
        <w:rPr/>
      </w:pPr>
      <w:r w:rsidDel="00000000" w:rsidR="00000000" w:rsidRPr="00000000">
        <w:rPr>
          <w:rtl w:val="0"/>
        </w:rPr>
        <w:t xml:space="preserve">El punto en el que las acciones del caso para /por el niño terminan.</w:t>
      </w:r>
    </w:p>
    <w:p w:rsidR="00000000" w:rsidDel="00000000" w:rsidP="00000000" w:rsidRDefault="00000000" w:rsidRPr="00000000" w14:paraId="00000025">
      <w:pPr>
        <w:spacing w:after="0" w:line="240" w:lineRule="auto"/>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Plan del caso</w:t>
      </w:r>
    </w:p>
    <w:p w:rsidR="00000000" w:rsidDel="00000000" w:rsidP="00000000" w:rsidRDefault="00000000" w:rsidRPr="00000000" w14:paraId="00000027">
      <w:pPr>
        <w:spacing w:after="0" w:line="240" w:lineRule="auto"/>
        <w:rPr/>
      </w:pPr>
      <w:r w:rsidDel="00000000" w:rsidR="00000000" w:rsidRPr="00000000">
        <w:rPr>
          <w:rtl w:val="0"/>
        </w:rPr>
        <w:t xml:space="preserve">Un plan del caso es la documentación de los objetivos y los pasos a seguir para un niño/a y su familia basado en una evaluación integral. </w:t>
      </w:r>
    </w:p>
    <w:p w:rsidR="00000000" w:rsidDel="00000000" w:rsidP="00000000" w:rsidRDefault="00000000" w:rsidRPr="00000000" w14:paraId="00000028">
      <w:pPr>
        <w:spacing w:after="0" w:line="240" w:lineRule="auto"/>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Transferencia del caso </w:t>
      </w:r>
    </w:p>
    <w:p w:rsidR="00000000" w:rsidDel="00000000" w:rsidP="00000000" w:rsidRDefault="00000000" w:rsidRPr="00000000" w14:paraId="0000002A">
      <w:pPr>
        <w:spacing w:after="0" w:line="240" w:lineRule="auto"/>
        <w:rPr/>
      </w:pPr>
      <w:r w:rsidDel="00000000" w:rsidR="00000000" w:rsidRPr="00000000">
        <w:rPr>
          <w:rtl w:val="0"/>
        </w:rPr>
        <w:t xml:space="preserve">Una transferencia del caso se refiere al proceso de entregar la responsabilidad total de la coordinación en el proceso de gestión de casos a otra institución y/o trabajador/a social.</w:t>
      </w:r>
    </w:p>
    <w:p w:rsidR="00000000" w:rsidDel="00000000" w:rsidP="00000000" w:rsidRDefault="00000000" w:rsidRPr="00000000" w14:paraId="0000002B">
      <w:pPr>
        <w:spacing w:after="0" w:line="240" w:lineRule="auto"/>
        <w:rPr/>
      </w:pPr>
      <w:r w:rsidDel="00000000" w:rsidR="00000000" w:rsidRPr="00000000">
        <w:rPr>
          <w:rtl w:val="0"/>
        </w:rPr>
        <w:t xml:space="preserve"> </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Cuidador/a</w:t>
      </w:r>
    </w:p>
    <w:p w:rsidR="00000000" w:rsidDel="00000000" w:rsidP="00000000" w:rsidRDefault="00000000" w:rsidRPr="00000000" w14:paraId="0000002D">
      <w:pPr>
        <w:spacing w:after="0" w:line="240" w:lineRule="auto"/>
        <w:rPr>
          <w:color w:val="000000"/>
        </w:rPr>
      </w:pPr>
      <w:r w:rsidDel="00000000" w:rsidR="00000000" w:rsidRPr="00000000">
        <w:rPr>
          <w:rtl w:val="0"/>
        </w:rPr>
        <w:t xml:space="preserve">El cuidador/a proporciona al niño/a cuidado, protección y supervisión diariamente, sin implicar necesariamente una responsabilidad legal. </w:t>
      </w:r>
      <w:r w:rsidDel="00000000" w:rsidR="00000000" w:rsidRPr="00000000">
        <w:rPr>
          <w:color w:val="000000"/>
          <w:rtl w:val="0"/>
        </w:rPr>
        <w:t xml:space="preserve">Un cuidador consuetudinario es alguien que la comunidad entiende que se hará cargo del cuidado diario, de la protección y la supervisión del niño, porque tal práctica es vista como una tradición o aceptada como costumbre común.</w:t>
      </w:r>
    </w:p>
    <w:p w:rsidR="00000000" w:rsidDel="00000000" w:rsidP="00000000" w:rsidRDefault="00000000" w:rsidRPr="00000000" w14:paraId="0000002E">
      <w:pPr>
        <w:spacing w:after="0" w:line="240" w:lineRule="auto"/>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Gestión de caso </w:t>
      </w:r>
    </w:p>
    <w:p w:rsidR="00000000" w:rsidDel="00000000" w:rsidP="00000000" w:rsidRDefault="00000000" w:rsidRPr="00000000" w14:paraId="00000030">
      <w:pPr>
        <w:spacing w:after="0" w:line="240" w:lineRule="auto"/>
        <w:rPr/>
      </w:pPr>
      <w:r w:rsidDel="00000000" w:rsidR="00000000" w:rsidRPr="00000000">
        <w:rPr>
          <w:rtl w:val="0"/>
        </w:rPr>
        <w:t xml:space="preserve">El manejo del caso es una manera de responder a las necesidades de un niño/a y su familia de una forma adecuada, sistemática y a tiempo, a través de apoyo directo y/o la ruta de remisión a servicios. </w:t>
      </w:r>
    </w:p>
    <w:p w:rsidR="00000000" w:rsidDel="00000000" w:rsidP="00000000" w:rsidRDefault="00000000" w:rsidRPr="00000000" w14:paraId="00000031">
      <w:pPr>
        <w:spacing w:after="0" w:line="240" w:lineRule="auto"/>
        <w:rPr>
          <w:b w:val="1"/>
          <w:color w:val="405c73"/>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Trabajador/a social</w:t>
      </w:r>
    </w:p>
    <w:p w:rsidR="00000000" w:rsidDel="00000000" w:rsidP="00000000" w:rsidRDefault="00000000" w:rsidRPr="00000000" w14:paraId="00000033">
      <w:pPr>
        <w:spacing w:after="0" w:line="240" w:lineRule="auto"/>
        <w:rPr>
          <w:color w:val="000000"/>
        </w:rPr>
      </w:pPr>
      <w:r w:rsidDel="00000000" w:rsidR="00000000" w:rsidRPr="00000000">
        <w:rPr>
          <w:color w:val="000000"/>
          <w:rtl w:val="0"/>
        </w:rPr>
        <w:t xml:space="preserve">Es el profesional clave en un caso y responsable del cuidado del niño/a desde su identificación hasta el cierre del caso. Según el lugar, algunas personas pueden usar diferentes términos como “asistente social” o “administrador de casos”.</w:t>
      </w:r>
    </w:p>
    <w:p w:rsidR="00000000" w:rsidDel="00000000" w:rsidP="00000000" w:rsidRDefault="00000000" w:rsidRPr="00000000" w14:paraId="00000034">
      <w:pPr>
        <w:spacing w:after="0" w:line="240" w:lineRule="auto"/>
        <w:rPr>
          <w:color w:val="000000"/>
        </w:rPr>
      </w:pP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Niño/a</w:t>
      </w:r>
    </w:p>
    <w:p w:rsidR="00000000" w:rsidDel="00000000" w:rsidP="00000000" w:rsidRDefault="00000000" w:rsidRPr="00000000" w14:paraId="00000036">
      <w:pPr>
        <w:spacing w:after="0" w:line="240" w:lineRule="auto"/>
        <w:rPr/>
      </w:pPr>
      <w:r w:rsidDel="00000000" w:rsidR="00000000" w:rsidRPr="00000000">
        <w:rPr>
          <w:rtl w:val="0"/>
        </w:rPr>
        <w:t xml:space="preserve">Todo ser humano menor de dieciocho años de edad, salvo que, en virtud de la ley que le sea aplicable (ley nacional), haya alcanzado antes la mayoría de edad. (Artículo 1 de la Convención sobre los Derechos del Niño)</w:t>
      </w:r>
    </w:p>
    <w:p w:rsidR="00000000" w:rsidDel="00000000" w:rsidP="00000000" w:rsidRDefault="00000000" w:rsidRPr="00000000" w14:paraId="00000037">
      <w:pPr>
        <w:spacing w:after="0" w:line="240" w:lineRule="auto"/>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Abuso de menores</w:t>
      </w:r>
    </w:p>
    <w:p w:rsidR="00000000" w:rsidDel="00000000" w:rsidP="00000000" w:rsidRDefault="00000000" w:rsidRPr="00000000" w14:paraId="00000039">
      <w:pPr>
        <w:spacing w:after="0" w:line="240" w:lineRule="auto"/>
        <w:rPr>
          <w:color w:val="000000"/>
        </w:rPr>
      </w:pPr>
      <w:r w:rsidDel="00000000" w:rsidR="00000000" w:rsidRPr="00000000">
        <w:rPr>
          <w:color w:val="000000"/>
          <w:rtl w:val="0"/>
        </w:rPr>
        <w:t xml:space="preserve">Acto deliberado de maltrato para causar daño o que pueda causar daño a la seguridad, bienestar, dignidad y desarrollo del niño/a. Abuso incluye todas las </w:t>
      </w:r>
      <w:r w:rsidDel="00000000" w:rsidR="00000000" w:rsidRPr="00000000">
        <w:rPr>
          <w:color w:val="000000"/>
          <w:rtl w:val="0"/>
        </w:rPr>
        <w:t xml:space="preserve">formas físicas, emocionales</w:t>
      </w:r>
      <w:r w:rsidDel="00000000" w:rsidR="00000000" w:rsidRPr="00000000">
        <w:rPr>
          <w:rtl w:val="0"/>
        </w:rPr>
        <w:t xml:space="preserve">, </w:t>
      </w:r>
      <w:r w:rsidDel="00000000" w:rsidR="00000000" w:rsidRPr="00000000">
        <w:rPr>
          <w:color w:val="000000"/>
          <w:rtl w:val="0"/>
        </w:rPr>
        <w:t xml:space="preserve">sexuales, de abandono</w:t>
      </w:r>
      <w:r w:rsidDel="00000000" w:rsidR="00000000" w:rsidRPr="00000000">
        <w:rPr>
          <w:color w:val="000000"/>
          <w:rtl w:val="0"/>
        </w:rPr>
        <w:t xml:space="preserve"> y el maltrato con fines explotadores.</w:t>
      </w:r>
    </w:p>
    <w:p w:rsidR="00000000" w:rsidDel="00000000" w:rsidP="00000000" w:rsidRDefault="00000000" w:rsidRPr="00000000" w14:paraId="0000003A">
      <w:pPr>
        <w:spacing w:after="0" w:line="240" w:lineRule="auto"/>
        <w:rPr>
          <w:color w:val="000000"/>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Niño/a asociado con fuerzas armadas o grupos armados</w:t>
      </w:r>
    </w:p>
    <w:p w:rsidR="00000000" w:rsidDel="00000000" w:rsidP="00000000" w:rsidRDefault="00000000" w:rsidRPr="00000000" w14:paraId="0000003C">
      <w:pPr>
        <w:spacing w:after="0" w:line="240" w:lineRule="auto"/>
        <w:rPr/>
      </w:pPr>
      <w:r w:rsidDel="00000000" w:rsidR="00000000" w:rsidRPr="00000000">
        <w:rPr>
          <w:rtl w:val="0"/>
        </w:rPr>
        <w:t xml:space="preserve">Un niño/a asociado con fuerzas o grupos armados es alguien menor de 18 años quien es o ha sido reclutado o usado por las fuerzas armadas o un grupo armado en cualquier tipo de función, entre otros, como combatientes, cocineros, porteadores, mensajeros, espías o con fines sexuales. </w:t>
      </w:r>
    </w:p>
    <w:p w:rsidR="00000000" w:rsidDel="00000000" w:rsidP="00000000" w:rsidRDefault="00000000" w:rsidRPr="00000000" w14:paraId="0000003D">
      <w:pPr>
        <w:spacing w:after="0" w:line="240" w:lineRule="auto"/>
        <w:rPr/>
      </w:pP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Menor jefe del hogar</w:t>
      </w:r>
    </w:p>
    <w:p w:rsidR="00000000" w:rsidDel="00000000" w:rsidP="00000000" w:rsidRDefault="00000000" w:rsidRPr="00000000" w14:paraId="0000003F">
      <w:pPr>
        <w:spacing w:after="0" w:line="240" w:lineRule="auto"/>
        <w:rPr>
          <w:color w:val="000000"/>
        </w:rPr>
      </w:pPr>
      <w:r w:rsidDel="00000000" w:rsidR="00000000" w:rsidRPr="00000000">
        <w:rPr>
          <w:color w:val="000000"/>
          <w:rtl w:val="0"/>
        </w:rPr>
        <w:t xml:space="preserve">Se refiere al hogar donde un niño o niños (hermanos mayores es lo más común) asume(n) la responsabilidad primaria de las operaciones del día a día en el hogar, proporcionando cuidados para todos los que habitan en el hogar.</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Trabajo infantil</w:t>
      </w:r>
    </w:p>
    <w:p w:rsidR="00000000" w:rsidDel="00000000" w:rsidP="00000000" w:rsidRDefault="00000000" w:rsidRPr="00000000" w14:paraId="00000042">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El trabajo infantil se refiere a toda labor que perjudica y pone en peligro al niño/a. Es una violación de derecho internacional y de leyes nacionales. Interfiere con la escolarización de los niños/as o se les exige combinar el estudio con un trabajo pesado. </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Matrimonio infantil</w:t>
      </w:r>
    </w:p>
    <w:p w:rsidR="00000000" w:rsidDel="00000000" w:rsidP="00000000" w:rsidRDefault="00000000" w:rsidRPr="00000000" w14:paraId="00000045">
      <w:pPr>
        <w:spacing w:after="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Es el matrimonio de una niña o de un niño antes de los 18 años y se refiere tanto al matrimonio formal o a uniones informales en el cual los niños/as menores de 18 años viven con su pareja como si estuvieran casados.</w:t>
      </w:r>
    </w:p>
    <w:p w:rsidR="00000000" w:rsidDel="00000000" w:rsidP="00000000" w:rsidRDefault="00000000" w:rsidRPr="00000000" w14:paraId="00000046">
      <w:pPr>
        <w:spacing w:after="0"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Tráfico de menores</w:t>
      </w:r>
    </w:p>
    <w:p w:rsidR="00000000" w:rsidDel="00000000" w:rsidP="00000000" w:rsidRDefault="00000000" w:rsidRPr="00000000" w14:paraId="00000048">
      <w:pPr>
        <w:spacing w:after="0" w:line="240" w:lineRule="auto"/>
        <w:rPr/>
      </w:pPr>
      <w:r w:rsidDel="00000000" w:rsidR="00000000" w:rsidRPr="00000000">
        <w:rPr>
          <w:rtl w:val="0"/>
        </w:rPr>
        <w:t xml:space="preserve">La captación, el transporte, el traslado, la acogida o la recepción de una persona menor de 18 años con fines de explotación nacional y transnacional. </w:t>
      </w:r>
    </w:p>
    <w:p w:rsidR="00000000" w:rsidDel="00000000" w:rsidP="00000000" w:rsidRDefault="00000000" w:rsidRPr="00000000" w14:paraId="00000049">
      <w:pPr>
        <w:spacing w:after="0" w:line="240" w:lineRule="auto"/>
        <w:rPr/>
      </w:pP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Niños/as en conflicto con la ley</w:t>
      </w:r>
    </w:p>
    <w:p w:rsidR="00000000" w:rsidDel="00000000" w:rsidP="00000000" w:rsidRDefault="00000000" w:rsidRPr="00000000" w14:paraId="0000004B">
      <w:pPr>
        <w:spacing w:after="0" w:line="240" w:lineRule="auto"/>
        <w:rPr/>
      </w:pPr>
      <w:r w:rsidDel="00000000" w:rsidR="00000000" w:rsidRPr="00000000">
        <w:rPr>
          <w:rtl w:val="0"/>
        </w:rPr>
        <w:t xml:space="preserve">Se refiere al niño/a presunto, acusado o sentenciado de haber cometido una ofensa bajo la ley nacional. </w:t>
      </w:r>
    </w:p>
    <w:p w:rsidR="00000000" w:rsidDel="00000000" w:rsidP="00000000" w:rsidRDefault="00000000" w:rsidRPr="00000000" w14:paraId="0000004C">
      <w:pPr>
        <w:spacing w:after="0" w:line="240" w:lineRule="auto"/>
        <w:rPr/>
      </w:pPr>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Mecanismos comunitarios de protección</w:t>
      </w:r>
    </w:p>
    <w:p w:rsidR="00000000" w:rsidDel="00000000" w:rsidP="00000000" w:rsidRDefault="00000000" w:rsidRPr="00000000" w14:paraId="0000004E">
      <w:pPr>
        <w:spacing w:after="0" w:line="240" w:lineRule="auto"/>
        <w:rPr/>
      </w:pPr>
      <w:r w:rsidDel="00000000" w:rsidR="00000000" w:rsidRPr="00000000">
        <w:rPr>
          <w:rtl w:val="0"/>
        </w:rPr>
        <w:t xml:space="preserve">Una red o grupo de individuos en la comunidad quienes trabajan de manera coordinada para asegurar la protección y el bienestar de los niños/as en un pueblo, barrio urbano u otra comunidad. Suelen también referirse como comités de protección de la infancia, comités para el bienestar de la infancia u otros grupos similares. No todos estos grupos se centran exclusivamente en temas de protección infantil ni definen su trabajo como “protección a la infancia”.</w:t>
      </w:r>
    </w:p>
    <w:p w:rsidR="00000000" w:rsidDel="00000000" w:rsidP="00000000" w:rsidRDefault="00000000" w:rsidRPr="00000000" w14:paraId="0000004F">
      <w:pPr>
        <w:spacing w:after="0" w:line="240" w:lineRule="auto"/>
        <w:rPr/>
      </w:pPr>
      <w:r w:rsidDel="00000000" w:rsidR="00000000" w:rsidRPr="00000000">
        <w:rPr>
          <w:rtl w:val="0"/>
        </w:rPr>
        <w:t xml:space="preserve"> </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Confidencialidad</w:t>
      </w:r>
    </w:p>
    <w:p w:rsidR="00000000" w:rsidDel="00000000" w:rsidP="00000000" w:rsidRDefault="00000000" w:rsidRPr="00000000" w14:paraId="00000051">
      <w:pPr>
        <w:spacing w:after="0" w:line="240" w:lineRule="auto"/>
        <w:rPr/>
      </w:pPr>
      <w:r w:rsidDel="00000000" w:rsidR="00000000" w:rsidRPr="00000000">
        <w:rPr>
          <w:rtl w:val="0"/>
        </w:rPr>
        <w:t xml:space="preserve">La obligación de que la información sobre un individuo comunicada en una relación de confianza no se hará pública ni será compartida con personas no autorizadas y disconforme al entendimiento durante la comunicación original o sin permiso previo.</w:t>
      </w:r>
    </w:p>
    <w:p w:rsidR="00000000" w:rsidDel="00000000" w:rsidP="00000000" w:rsidRDefault="00000000" w:rsidRPr="00000000" w14:paraId="00000052">
      <w:pPr>
        <w:spacing w:after="0" w:line="240" w:lineRule="auto"/>
        <w:rPr/>
      </w:pP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Consentimiento</w:t>
      </w:r>
    </w:p>
    <w:p w:rsidR="00000000" w:rsidDel="00000000" w:rsidP="00000000" w:rsidRDefault="00000000" w:rsidRPr="00000000" w14:paraId="00000054">
      <w:pPr>
        <w:spacing w:after="0" w:line="240" w:lineRule="auto"/>
        <w:rPr/>
      </w:pPr>
      <w:r w:rsidDel="00000000" w:rsidR="00000000" w:rsidRPr="00000000">
        <w:rPr>
          <w:rtl w:val="0"/>
        </w:rPr>
        <w:t xml:space="preserve">Acuerdo informado, libre y voluntario de un individuo quien tiene capacidad legal para dar consentimiento.</w:t>
      </w:r>
    </w:p>
    <w:p w:rsidR="00000000" w:rsidDel="00000000" w:rsidP="00000000" w:rsidRDefault="00000000" w:rsidRPr="00000000" w14:paraId="00000055">
      <w:pPr>
        <w:spacing w:after="0" w:line="240" w:lineRule="auto"/>
        <w:rPr>
          <w:color w:val="000000"/>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Documentación</w:t>
      </w:r>
    </w:p>
    <w:p w:rsidR="00000000" w:rsidDel="00000000" w:rsidP="00000000" w:rsidRDefault="00000000" w:rsidRPr="00000000" w14:paraId="00000057">
      <w:pPr>
        <w:spacing w:after="0" w:line="240" w:lineRule="auto"/>
        <w:rPr>
          <w:color w:val="000000"/>
        </w:rPr>
      </w:pPr>
      <w:r w:rsidDel="00000000" w:rsidR="00000000" w:rsidRPr="00000000">
        <w:rPr>
          <w:color w:val="000000"/>
          <w:rtl w:val="0"/>
        </w:rPr>
        <w:t xml:space="preserve">Es el proceso de reunir y almacenar información específica del niño/a y de sus familias, tanto la información que el niño/a y la familia comparten directamente como cualquier dato que se obtenga indirectamente, inclusive aquellos que salgan a relucir a través del uso de los formularios durante el manejo del caso, las notas que se tomen o mientras completen la ficha del caso. </w:t>
      </w:r>
    </w:p>
    <w:p w:rsidR="00000000" w:rsidDel="00000000" w:rsidP="00000000" w:rsidRDefault="00000000" w:rsidRPr="00000000" w14:paraId="00000058">
      <w:pPr>
        <w:spacing w:after="0" w:line="240" w:lineRule="auto"/>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Solución duradera </w:t>
      </w:r>
    </w:p>
    <w:p w:rsidR="00000000" w:rsidDel="00000000" w:rsidP="00000000" w:rsidRDefault="00000000" w:rsidRPr="00000000" w14:paraId="0000005A">
      <w:pPr>
        <w:spacing w:after="0" w:line="240" w:lineRule="auto"/>
        <w:rPr/>
      </w:pPr>
      <w:r w:rsidDel="00000000" w:rsidR="00000000" w:rsidRPr="00000000">
        <w:rPr>
          <w:rtl w:val="0"/>
        </w:rPr>
        <w:t xml:space="preserve">En el contexto del trabajo de ACNUR, se refiere a las soluciones sostenibles y a largo plazo para los refugiados. Es decir, la repatriación voluntaria, integración local en el país de asilo y el reasentamiento a un país tercero.</w:t>
      </w:r>
    </w:p>
    <w:p w:rsidR="00000000" w:rsidDel="00000000" w:rsidP="00000000" w:rsidRDefault="00000000" w:rsidRPr="00000000" w14:paraId="0000005B">
      <w:pPr>
        <w:spacing w:after="0" w:line="240" w:lineRule="auto"/>
        <w:rPr/>
      </w:pP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Violencia/abuso emocional o psicológico </w:t>
      </w:r>
    </w:p>
    <w:p w:rsidR="00000000" w:rsidDel="00000000" w:rsidP="00000000" w:rsidRDefault="00000000" w:rsidRPr="00000000" w14:paraId="0000005D">
      <w:pPr>
        <w:spacing w:after="0" w:line="240" w:lineRule="auto"/>
        <w:rPr>
          <w:color w:val="000000"/>
        </w:rPr>
      </w:pPr>
      <w:r w:rsidDel="00000000" w:rsidR="00000000" w:rsidRPr="00000000">
        <w:rPr>
          <w:color w:val="000000"/>
          <w:rtl w:val="0"/>
        </w:rPr>
        <w:t xml:space="preserve">El maltrato emocional y persistente hacia un niño/a que le cause efectos perjudiciales de gravedad y duraderos en la salud emocional y en el desarrollo del niño/a. Por ejemplo, comportamientos de humillación y de desprecio como insultos, críticas constantes, hacerle </w:t>
      </w:r>
      <w:r w:rsidDel="00000000" w:rsidR="00000000" w:rsidRPr="00000000">
        <w:rPr>
          <w:rtl w:val="0"/>
        </w:rPr>
        <w:t xml:space="preserve">sentir inferior, repudio continuo, encierro solitario y</w:t>
      </w:r>
      <w:r w:rsidDel="00000000" w:rsidR="00000000" w:rsidRPr="00000000">
        <w:rPr>
          <w:color w:val="ff0000"/>
          <w:rtl w:val="0"/>
        </w:rPr>
        <w:t xml:space="preserve"> </w:t>
      </w:r>
      <w:r w:rsidDel="00000000" w:rsidR="00000000" w:rsidRPr="00000000">
        <w:rPr>
          <w:color w:val="000000"/>
          <w:rtl w:val="0"/>
        </w:rPr>
        <w:t xml:space="preserve">aislación.</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Explotación</w:t>
      </w:r>
    </w:p>
    <w:p w:rsidR="00000000" w:rsidDel="00000000" w:rsidP="00000000" w:rsidRDefault="00000000" w:rsidRPr="00000000" w14:paraId="00000060">
      <w:pPr>
        <w:spacing w:after="0" w:line="240" w:lineRule="auto"/>
        <w:rPr>
          <w:color w:val="000000"/>
        </w:rPr>
      </w:pPr>
      <w:r w:rsidDel="00000000" w:rsidR="00000000" w:rsidRPr="00000000">
        <w:rPr>
          <w:color w:val="000000"/>
          <w:rtl w:val="0"/>
        </w:rPr>
        <w:t xml:space="preserve">El uso de niños/as para ventaja, satisfacción o beneficio de otra persona, y que resulta en la mayoría de los casos en un trato injusto, cruel y dañino.</w:t>
      </w:r>
    </w:p>
    <w:p w:rsidR="00000000" w:rsidDel="00000000" w:rsidP="00000000" w:rsidRDefault="00000000" w:rsidRPr="00000000" w14:paraId="00000061">
      <w:pPr>
        <w:spacing w:after="0" w:line="240" w:lineRule="auto"/>
        <w:rPr>
          <w:color w:val="000000"/>
        </w:rPr>
      </w:pPr>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Artefactos explosivos (EO siglas en inglés)</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highlight w:val="white"/>
          <w:u w:val="none"/>
          <w:vertAlign w:val="baseline"/>
        </w:rPr>
      </w:pPr>
      <w:r w:rsidDel="00000000" w:rsidR="00000000" w:rsidRPr="00000000">
        <w:rPr>
          <w:rFonts w:ascii="Calibri" w:cs="Calibri" w:eastAsia="Calibri" w:hAnsi="Calibri"/>
          <w:b w:val="0"/>
          <w:i w:val="0"/>
          <w:smallCaps w:val="0"/>
          <w:strike w:val="0"/>
          <w:color w:val="000000"/>
          <w:sz w:val="24"/>
          <w:szCs w:val="24"/>
          <w:highlight w:val="white"/>
          <w:u w:val="none"/>
          <w:vertAlign w:val="baseline"/>
          <w:rtl w:val="0"/>
        </w:rPr>
        <w:t xml:space="preserve">Explosivos, incluidas las minas antipersonales, los restos explosivos de</w:t>
      </w:r>
      <w:r w:rsidDel="00000000" w:rsidR="00000000" w:rsidRPr="00000000">
        <w:rPr>
          <w:rFonts w:ascii="Calibri" w:cs="Calibri" w:eastAsia="Calibri" w:hAnsi="Calibri"/>
          <w:b w:val="0"/>
          <w:i w:val="0"/>
          <w:smallCaps w:val="0"/>
          <w:strike w:val="0"/>
          <w:color w:val="000000"/>
          <w:sz w:val="28"/>
          <w:szCs w:val="28"/>
          <w:highlight w:val="white"/>
          <w:u w:val="none"/>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highlight w:val="white"/>
          <w:u w:val="none"/>
          <w:vertAlign w:val="baseline"/>
          <w:rtl w:val="0"/>
        </w:rPr>
        <w:t xml:space="preserve">guerra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artefactos sin estallar y los artefactos explosivos abandonados</w:t>
      </w:r>
      <w:r w:rsidDel="00000000" w:rsidR="00000000" w:rsidRPr="00000000">
        <w:rPr>
          <w:rFonts w:ascii="Calibri" w:cs="Calibri" w:eastAsia="Calibri" w:hAnsi="Calibri"/>
          <w:b w:val="0"/>
          <w:i w:val="0"/>
          <w:smallCaps w:val="0"/>
          <w:strike w:val="0"/>
          <w:color w:val="000000"/>
          <w:sz w:val="24"/>
          <w:szCs w:val="24"/>
          <w:highlight w:val="white"/>
          <w:u w:val="none"/>
          <w:vertAlign w:val="baseline"/>
          <w:rtl w:val="0"/>
        </w:rPr>
        <w:t xml:space="preserve"> además de artefactos explosivos improvisados.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Parientes </w:t>
      </w:r>
    </w:p>
    <w:p w:rsidR="00000000" w:rsidDel="00000000" w:rsidP="00000000" w:rsidRDefault="00000000" w:rsidRPr="00000000" w14:paraId="00000066">
      <w:pPr>
        <w:spacing w:after="0" w:line="240" w:lineRule="auto"/>
        <w:rPr>
          <w:color w:val="000000"/>
        </w:rPr>
      </w:pPr>
      <w:r w:rsidDel="00000000" w:rsidR="00000000" w:rsidRPr="00000000">
        <w:rPr>
          <w:color w:val="000000"/>
          <w:rtl w:val="0"/>
        </w:rPr>
        <w:t xml:space="preserve">La extensión amplia de los miembros de familia que puede incluir abuelos, tíos, tías, primos, etc.</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Modalidad de cuidado similar a la familia</w:t>
      </w:r>
    </w:p>
    <w:p w:rsidR="00000000" w:rsidDel="00000000" w:rsidP="00000000" w:rsidRDefault="00000000" w:rsidRPr="00000000" w14:paraId="00000069">
      <w:pPr>
        <w:spacing w:after="0" w:line="240" w:lineRule="auto"/>
        <w:rPr/>
      </w:pPr>
      <w:r w:rsidDel="00000000" w:rsidR="00000000" w:rsidRPr="00000000">
        <w:rPr>
          <w:rtl w:val="0"/>
        </w:rPr>
        <w:t xml:space="preserve">La modalidad de cuidado similar a la familia es un tipo de cuidado alternativo que consiste en que el niño/a viva con otra familia que incluye a sus padres biológicos. Es un concepto amplio que puede incluir acogimiento temporal, estar bajo el cuidado de parientes o familiares y supervisados en hogares con menores como jefe de hogar.</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Reunificación de familia</w:t>
      </w:r>
    </w:p>
    <w:p w:rsidR="00000000" w:rsidDel="00000000" w:rsidP="00000000" w:rsidRDefault="00000000" w:rsidRPr="00000000" w14:paraId="0000006C">
      <w:pPr>
        <w:spacing w:after="0" w:line="240" w:lineRule="auto"/>
        <w:rPr/>
      </w:pPr>
      <w:r w:rsidDel="00000000" w:rsidR="00000000" w:rsidRPr="00000000">
        <w:rPr>
          <w:rtl w:val="0"/>
        </w:rPr>
        <w:t xml:space="preserve">Es el proceso de juntar al niño/a con su familia o su cuidador previo con el fin de crear o reestablecer su cuidado a largo plazo. El término también se usa cuando niños/as se reencuentran con una familia con la que no había vivido antes.</w:t>
      </w:r>
    </w:p>
    <w:p w:rsidR="00000000" w:rsidDel="00000000" w:rsidP="00000000" w:rsidRDefault="00000000" w:rsidRPr="00000000" w14:paraId="0000006D">
      <w:pPr>
        <w:spacing w:after="0" w:line="240" w:lineRule="auto"/>
        <w:rPr/>
      </w:pP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Búsqueda y localización de familiares</w:t>
      </w:r>
    </w:p>
    <w:p w:rsidR="00000000" w:rsidDel="00000000" w:rsidP="00000000" w:rsidRDefault="00000000" w:rsidRPr="00000000" w14:paraId="0000006F">
      <w:pPr>
        <w:spacing w:after="0" w:line="240" w:lineRule="auto"/>
        <w:rPr/>
      </w:pPr>
      <w:r w:rsidDel="00000000" w:rsidR="00000000" w:rsidRPr="00000000">
        <w:rPr>
          <w:rtl w:val="0"/>
        </w:rPr>
        <w:t xml:space="preserve">En el caso de niños/as, se refiere al proceso de buscar ambos, a miembros de familia y/o al cuidador primario legal o consuetudinario. El término también incluye la localización de niños/as que están buscando los padres. El objetivo de la búsqueda es la reunificación con padres o con parientes cercanos. </w:t>
      </w:r>
    </w:p>
    <w:p w:rsidR="00000000" w:rsidDel="00000000" w:rsidP="00000000" w:rsidRDefault="00000000" w:rsidRPr="00000000" w14:paraId="00000070">
      <w:pPr>
        <w:spacing w:after="0" w:line="240" w:lineRule="auto"/>
        <w:rPr/>
      </w:pP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hyperlink r:id="rId9">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Mutilación Genital Femenina (FGM siglas en inglés)</w:t>
        </w:r>
      </w:hyperlink>
      <w:r w:rsidDel="00000000" w:rsidR="00000000" w:rsidRPr="00000000">
        <w:rPr>
          <w:rtl w:val="0"/>
        </w:rPr>
      </w:r>
    </w:p>
    <w:p w:rsidR="00000000" w:rsidDel="00000000" w:rsidP="00000000" w:rsidRDefault="00000000" w:rsidRPr="00000000" w14:paraId="00000072">
      <w:pPr>
        <w:spacing w:after="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Es una maniobra (operación) que se hace en una mujer o niña para cambiar o herir la zona genital sin razones médicas. En la mayoría de los casos involucra la amputación completa o parcial de la parte exterior. En algunas comunidades, se le llama comúnmente como ‘circuncisión femenina’. </w:t>
      </w:r>
    </w:p>
    <w:p w:rsidR="00000000" w:rsidDel="00000000" w:rsidP="00000000" w:rsidRDefault="00000000" w:rsidRPr="00000000" w14:paraId="00000073">
      <w:pPr>
        <w:spacing w:after="0" w:line="240" w:lineRule="auto"/>
        <w:rPr/>
      </w:pP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Apoyo focalizado, no especializado para la salud mental y psicosocial (MHPSS siglas en inglés)</w:t>
      </w:r>
    </w:p>
    <w:p w:rsidR="00000000" w:rsidDel="00000000" w:rsidP="00000000" w:rsidRDefault="00000000" w:rsidRPr="00000000" w14:paraId="00000075">
      <w:pPr>
        <w:shd w:fill="ffffff" w:val="clear"/>
        <w:spacing w:after="0" w:line="240" w:lineRule="auto"/>
        <w:rPr>
          <w:rFonts w:ascii="Calibri" w:cs="Calibri" w:eastAsia="Calibri" w:hAnsi="Calibri"/>
        </w:rPr>
      </w:pPr>
      <w:r w:rsidDel="00000000" w:rsidR="00000000" w:rsidRPr="00000000">
        <w:rPr>
          <w:rFonts w:ascii="Calibri" w:cs="Calibri" w:eastAsia="Calibri" w:hAnsi="Calibri"/>
          <w:rtl w:val="0"/>
        </w:rPr>
        <w:t xml:space="preserve">Son servicios de salud mental y psicosocial que ofrece y supervisa un personal no especializado o laico y que consisten en proveer cuidado focalizado a los niños/as y a sus familias quienes muestran necesidades específicas emocionales, sociales, de salud y protección. Proveedores de este servicio pueden incluir trabajadores comunitarios, personal en el sector de salud o de servicios sociales, terapeutas, maestros y otros.</w:t>
      </w:r>
    </w:p>
    <w:p w:rsidR="00000000" w:rsidDel="00000000" w:rsidP="00000000" w:rsidRDefault="00000000" w:rsidRPr="00000000" w14:paraId="00000076">
      <w:pPr>
        <w:shd w:fill="ffffff" w:val="clea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Seguimiento </w:t>
      </w:r>
    </w:p>
    <w:p w:rsidR="00000000" w:rsidDel="00000000" w:rsidP="00000000" w:rsidRDefault="00000000" w:rsidRPr="00000000" w14:paraId="00000078">
      <w:pPr>
        <w:spacing w:after="0" w:line="240" w:lineRule="auto"/>
        <w:rPr/>
      </w:pPr>
      <w:r w:rsidDel="00000000" w:rsidR="00000000" w:rsidRPr="00000000">
        <w:rPr>
          <w:rtl w:val="0"/>
        </w:rPr>
        <w:t xml:space="preserve">Se entiende como las acciones que se toman para asegurarse de que el niño/a y su familia están recibiendo apoyo y los servicios adecuados. También consiste en monitorear la situación del niño/a e identificar cualquier cambio en el niño y en las circunstancias de su familia.</w:t>
      </w:r>
    </w:p>
    <w:p w:rsidR="00000000" w:rsidDel="00000000" w:rsidP="00000000" w:rsidRDefault="00000000" w:rsidRPr="00000000" w14:paraId="00000079">
      <w:pPr>
        <w:spacing w:after="0" w:line="240" w:lineRule="auto"/>
        <w:rPr/>
      </w:pP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Acogida temporal </w:t>
      </w:r>
    </w:p>
    <w:p w:rsidR="00000000" w:rsidDel="00000000" w:rsidP="00000000" w:rsidRDefault="00000000" w:rsidRPr="00000000" w14:paraId="0000007B">
      <w:pPr>
        <w:spacing w:after="0" w:line="240" w:lineRule="auto"/>
        <w:rPr/>
      </w:pPr>
      <w:r w:rsidDel="00000000" w:rsidR="00000000" w:rsidRPr="00000000">
        <w:rPr>
          <w:rtl w:val="0"/>
        </w:rPr>
        <w:t xml:space="preserve">Son situaciones en las que niños/as son recibidos por un hogar diferente al de su familia. El acogimiento temporal se entiende como una medida temporal y en la mayoría de los casos los padres biológicos retienen los derechos y responsabilidades paternales. Esta modalidad de cuidado la maneja una institución competente y consiste en que un niño/a vivirá con una familia preseleccionada, que ha sido preparada y autorizada para proporcionar este tipo de cuidado y que será supervisada y por el cual podría ser apoyada con recursos económicos o no monetarios. </w:t>
      </w:r>
    </w:p>
    <w:p w:rsidR="00000000" w:rsidDel="00000000" w:rsidP="00000000" w:rsidRDefault="00000000" w:rsidRPr="00000000" w14:paraId="0000007C">
      <w:pPr>
        <w:spacing w:after="0" w:line="240" w:lineRule="auto"/>
        <w:rPr/>
      </w:pPr>
      <w:r w:rsidDel="00000000" w:rsidR="00000000" w:rsidRPr="00000000">
        <w:rPr>
          <w:rtl w:val="0"/>
        </w:rPr>
      </w:r>
    </w:p>
    <w:p w:rsidR="00000000" w:rsidDel="00000000" w:rsidP="00000000" w:rsidRDefault="00000000" w:rsidRPr="00000000" w14:paraId="0000007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Acogimiento tradicional o informal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se refiere a las situaciones donde el niño/a vive con una familia o en otro hogar que puede o no estar relacionada con la familia del niño/a. No hay partes terceras en este acuerdo, aunque puede ser que esta modalidad de cuidado tenga la aprobación de o sea apoyada por la comunidad local y pueda implicar obligaciones y derechos conscientes por ambas partes. </w:t>
      </w:r>
    </w:p>
    <w:p w:rsidR="00000000" w:rsidDel="00000000" w:rsidP="00000000" w:rsidRDefault="00000000" w:rsidRPr="00000000" w14:paraId="0000007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Acogimiento espontáneo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se refiere a una situación en el que una familia se hace cargo de un niño/a sin tener ningún previo acuerdo. Esta modalidad de cuidado ocurre con frecuencia en situaciones de emergencia y pueda involucrar a una familia de otra comunidad diferente a la del niño/a.</w:t>
      </w:r>
    </w:p>
    <w:p w:rsidR="00000000" w:rsidDel="00000000" w:rsidP="00000000" w:rsidRDefault="00000000" w:rsidRPr="00000000" w14:paraId="0000007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Acogimiento acordado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se refiere a una situación en el que un niño/a es cuidado por una familia como parte de un acuerdo llegado a través de una parte tercera. Este acuerdo puede que no esté regulado formalmente en la ley.</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Violencia de género</w:t>
      </w:r>
    </w:p>
    <w:p w:rsidR="00000000" w:rsidDel="00000000" w:rsidP="00000000" w:rsidRDefault="00000000" w:rsidRPr="00000000" w14:paraId="00000082">
      <w:pPr>
        <w:spacing w:after="0" w:line="240" w:lineRule="auto"/>
        <w:rPr/>
      </w:pPr>
      <w:r w:rsidDel="00000000" w:rsidR="00000000" w:rsidRPr="00000000">
        <w:rPr>
          <w:rtl w:val="0"/>
        </w:rPr>
        <w:t xml:space="preserve">La violencia de género (GBV siglas en inglés) es un término que abarca todo tipo de acto dañino que se causa contra una persona basado en las diferencias sociales establecidas (es decir, género) entre hombres y mujeres. Incluye actos que infligen dolor o sufrimiento físico, sexual o mental, amenazas de esos actos, coerción y otras privaciones de libertad. Estas acciones pueden ocurrir en público o en espacios privados. Formas comunes de GBV incluyen violencia sexual (violación, atento de violar, contacto no deseado, explotación sexual y acoso sexual), violencia por parte de la pareja íntima (también llamado violencia doméstica y que incluye abuso físico, emocional, sexual y económico), matrimonio temprano y forzado y la mutilación genital femenina. GBV es un tema de derechos humanos y de salud pública reconocido internacionalmente.</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Tutor legal</w:t>
      </w:r>
    </w:p>
    <w:p w:rsidR="00000000" w:rsidDel="00000000" w:rsidP="00000000" w:rsidRDefault="00000000" w:rsidRPr="00000000" w14:paraId="00000085">
      <w:pPr>
        <w:spacing w:after="0" w:line="240" w:lineRule="auto"/>
        <w:rPr/>
      </w:pPr>
      <w:r w:rsidDel="00000000" w:rsidR="00000000" w:rsidRPr="00000000">
        <w:rPr>
          <w:rtl w:val="0"/>
        </w:rPr>
        <w:t xml:space="preserve">Un tutor legal es una persona que no es uno de los padres del niño/a y que se le otorga la responsabilidad legal de cuidar del niño/a. Esto puede implicar responsabilidad total como padre o madre incluido el cuidado de un niño/a o como en algunos sistemas, una capacidad limitada de responsabilidades relacionadas únicamente a la toma de decisiones legales en representación del niño/a. </w:t>
      </w:r>
    </w:p>
    <w:p w:rsidR="00000000" w:rsidDel="00000000" w:rsidP="00000000" w:rsidRDefault="00000000" w:rsidRPr="00000000" w14:paraId="00000086">
      <w:pPr>
        <w:spacing w:after="0" w:line="240" w:lineRule="auto"/>
        <w:rPr/>
      </w:pPr>
      <w:r w:rsidDel="00000000" w:rsidR="00000000" w:rsidRPr="00000000">
        <w:rPr>
          <w:rtl w:val="0"/>
        </w:rPr>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Trabajo peligroso</w:t>
      </w:r>
    </w:p>
    <w:p w:rsidR="00000000" w:rsidDel="00000000" w:rsidP="00000000" w:rsidRDefault="00000000" w:rsidRPr="00000000" w14:paraId="00000088">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El trabajo peligroso consiste en el tipo de trabajo que por naturaleza o por las circunstancias en las que se opera el trabajo, es probablemente perjudicial a la salud, seguridad o moral del niño/a. Es la peor forma de trabajo infantil que existe y está prohibida a cualquier persona menor de 18 años. </w:t>
      </w:r>
    </w:p>
    <w:p w:rsidR="00000000" w:rsidDel="00000000" w:rsidP="00000000" w:rsidRDefault="00000000" w:rsidRPr="00000000" w14:paraId="00000089">
      <w:pPr>
        <w:spacing w:after="0" w:line="240" w:lineRule="auto"/>
        <w:rPr>
          <w:color w:val="000000"/>
        </w:rPr>
      </w:pP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Identificación</w:t>
      </w:r>
    </w:p>
    <w:p w:rsidR="00000000" w:rsidDel="00000000" w:rsidP="00000000" w:rsidRDefault="00000000" w:rsidRPr="00000000" w14:paraId="0000008B">
      <w:pPr>
        <w:spacing w:after="0" w:line="240" w:lineRule="auto"/>
        <w:rPr/>
      </w:pPr>
      <w:r w:rsidDel="00000000" w:rsidR="00000000" w:rsidRPr="00000000">
        <w:rPr>
          <w:rtl w:val="0"/>
        </w:rPr>
        <w:t xml:space="preserve">El proceso de establecer qué niños/as están en riesgo y dónde se encuentran estos niños/as.</w:t>
      </w:r>
    </w:p>
    <w:p w:rsidR="00000000" w:rsidDel="00000000" w:rsidP="00000000" w:rsidRDefault="00000000" w:rsidRPr="00000000" w14:paraId="0000008C">
      <w:pPr>
        <w:spacing w:after="0" w:line="240" w:lineRule="auto"/>
        <w:rPr/>
      </w:pP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Puesta en marcha del plan de un caso</w:t>
      </w:r>
    </w:p>
    <w:p w:rsidR="00000000" w:rsidDel="00000000" w:rsidP="00000000" w:rsidRDefault="00000000" w:rsidRPr="00000000" w14:paraId="0000008E">
      <w:pPr>
        <w:spacing w:after="0" w:line="240" w:lineRule="auto"/>
        <w:rPr/>
      </w:pPr>
      <w:r w:rsidDel="00000000" w:rsidR="00000000" w:rsidRPr="00000000">
        <w:rPr>
          <w:rtl w:val="0"/>
        </w:rPr>
        <w:t xml:space="preserve">Las acciones que se toman con el fin de llevar a cabo el plan y que incluye apoyo directo y servicios y mediante la ruta de remisión a otras instituciones/proveedores de servicios, según sea más apropiado.</w:t>
      </w:r>
    </w:p>
    <w:p w:rsidR="00000000" w:rsidDel="00000000" w:rsidP="00000000" w:rsidRDefault="00000000" w:rsidRPr="00000000" w14:paraId="0000008F">
      <w:pPr>
        <w:spacing w:after="0" w:line="240" w:lineRule="auto"/>
        <w:rPr>
          <w:color w:val="000000"/>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Cuidado provisional</w:t>
      </w:r>
    </w:p>
    <w:p w:rsidR="00000000" w:rsidDel="00000000" w:rsidP="00000000" w:rsidRDefault="00000000" w:rsidRPr="00000000" w14:paraId="00000091">
      <w:pPr>
        <w:spacing w:after="0" w:line="240" w:lineRule="auto"/>
        <w:rPr/>
      </w:pPr>
      <w:r w:rsidDel="00000000" w:rsidR="00000000" w:rsidRPr="00000000">
        <w:rPr>
          <w:rtl w:val="0"/>
        </w:rPr>
        <w:t xml:space="preserve">Describe las medidas de cuidado para los niños/as sin acompañar y separados u otros niños con necesidad de cuidado y se pretende que sean medidas temporales, hasta que el niño/a pueda regresar con su propia familia. El cuidado interino es una modalidad de cuidado que se propone para un niño/a de manera temporal durante un período máximo de 12 semanas. Puede ser un acuerdo formal o informal con parientes o familiares, cuidadores temporales o en un centro de acogida temporal. Deberá revisarse el plan de caso del niño/a cada 12 semanas (3 meses) para conseguir un plan y una modalidad de cuidado más permanente y de largo plazo. Después de este período, si el niño/a permanece en la misma modalidad de cuidado, esta medida deberá considerarse como un cuidado de largo plazo.</w:t>
      </w:r>
    </w:p>
    <w:p w:rsidR="00000000" w:rsidDel="00000000" w:rsidP="00000000" w:rsidRDefault="00000000" w:rsidRPr="00000000" w14:paraId="00000092">
      <w:pPr>
        <w:spacing w:after="0" w:line="240" w:lineRule="auto"/>
        <w:rPr>
          <w:b w:val="1"/>
          <w:color w:val="0099ff"/>
        </w:rPr>
      </w:pPr>
      <w:r w:rsidDel="00000000" w:rsidR="00000000" w:rsidRPr="00000000">
        <w:rPr>
          <w:rtl w:val="0"/>
        </w:rPr>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Bajo el cuidado de parientes o familiares</w:t>
      </w:r>
    </w:p>
    <w:p w:rsidR="00000000" w:rsidDel="00000000" w:rsidP="00000000" w:rsidRDefault="00000000" w:rsidRPr="00000000" w14:paraId="00000094">
      <w:pPr>
        <w:spacing w:after="0" w:line="240" w:lineRule="auto"/>
        <w:rPr/>
      </w:pPr>
      <w:r w:rsidDel="00000000" w:rsidR="00000000" w:rsidRPr="00000000">
        <w:rPr>
          <w:rtl w:val="0"/>
        </w:rPr>
        <w:t xml:space="preserve">Situaciones en las que las niñas y niños viven con parientes. Con frecuencia, esto ocurre espontáneamente dentro de la familia, pero en algunas ocasiones, las autoridades o instituciones intervienen para acordar y apoyar esta modalidad de cuidado. </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Integración local de niños/as</w:t>
      </w:r>
    </w:p>
    <w:p w:rsidR="00000000" w:rsidDel="00000000" w:rsidP="00000000" w:rsidRDefault="00000000" w:rsidRPr="00000000" w14:paraId="00000097">
      <w:pPr>
        <w:spacing w:after="0" w:line="240" w:lineRule="auto"/>
        <w:rPr/>
      </w:pPr>
      <w:r w:rsidDel="00000000" w:rsidR="00000000" w:rsidRPr="00000000">
        <w:rPr>
          <w:rtl w:val="0"/>
        </w:rPr>
        <w:t xml:space="preserve">Se considera como una solución duradera y en el que los niños/as asimilan la vida en el primer país de asilo. Es un proceso legal, económico, social, cultural y político por el que los niños/as refugiados consiguen la igualdad en sus derechos y en el acceso a servicios como los ciudadanos nacionales.</w:t>
      </w:r>
    </w:p>
    <w:p w:rsidR="00000000" w:rsidDel="00000000" w:rsidP="00000000" w:rsidRDefault="00000000" w:rsidRPr="00000000" w14:paraId="00000098">
      <w:pPr>
        <w:spacing w:after="0" w:line="240" w:lineRule="auto"/>
        <w:rPr>
          <w:color w:val="000000"/>
        </w:rPr>
      </w:pPr>
      <w:r w:rsidDel="00000000" w:rsidR="00000000" w:rsidRPr="00000000">
        <w:rPr>
          <w:rtl w:val="0"/>
        </w:rPr>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Cuidado a largo plazo</w:t>
      </w:r>
    </w:p>
    <w:p w:rsidR="00000000" w:rsidDel="00000000" w:rsidP="00000000" w:rsidRDefault="00000000" w:rsidRPr="00000000" w14:paraId="0000009A">
      <w:pPr>
        <w:spacing w:after="0" w:line="240" w:lineRule="auto"/>
        <w:rPr/>
      </w:pPr>
      <w:r w:rsidDel="00000000" w:rsidR="00000000" w:rsidRPr="00000000">
        <w:rPr>
          <w:rtl w:val="0"/>
        </w:rPr>
        <w:t xml:space="preserve">Cuidado alternativo que dura más de 12 semanas (tres meses).</w:t>
      </w:r>
    </w:p>
    <w:p w:rsidR="00000000" w:rsidDel="00000000" w:rsidP="00000000" w:rsidRDefault="00000000" w:rsidRPr="00000000" w14:paraId="0000009B">
      <w:pPr>
        <w:spacing w:after="0" w:line="240" w:lineRule="auto"/>
        <w:rPr/>
      </w:pPr>
      <w:r w:rsidDel="00000000" w:rsidR="00000000" w:rsidRPr="00000000">
        <w:rPr>
          <w:rtl w:val="0"/>
        </w:rPr>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Negligencia</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Dejar de proveer o de asegurarse de cumplir el derecho del niño/a un entorno seguro y a su desarrollo, de manera deliberada o por descuido o negligencia. Algunos ejemplos son el abandono, desatender o dejar de supervisar adecuadamente y proteger lo mejor posible al niño/a de cualquier daño, olvidarse a propósito de dar cuidados críticos lo que resulta o puede resultar en daños al niño/a, no proporcionar intencionadamente atención médica o exponerle a algún peligro.</w:t>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Huérfano/a</w:t>
      </w:r>
    </w:p>
    <w:p w:rsidR="00000000" w:rsidDel="00000000" w:rsidP="00000000" w:rsidRDefault="00000000" w:rsidRPr="00000000" w14:paraId="000000A0">
      <w:pPr>
        <w:spacing w:after="0" w:line="240" w:lineRule="auto"/>
        <w:rPr/>
      </w:pPr>
      <w:r w:rsidDel="00000000" w:rsidR="00000000" w:rsidRPr="00000000">
        <w:rPr>
          <w:rtl w:val="0"/>
        </w:rPr>
        <w:t xml:space="preserve">Niño/a al cual ambos padres murieron. En muchos países, se les llaman “huérfanos” a los niños/as incluso si es solo uno de los padres que murió; es por ello, que es importante conocer el uso local del término.</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Padre(s)</w:t>
      </w:r>
    </w:p>
    <w:p w:rsidR="00000000" w:rsidDel="00000000" w:rsidP="00000000" w:rsidRDefault="00000000" w:rsidRPr="00000000" w14:paraId="000000A3">
      <w:pPr>
        <w:spacing w:after="0" w:line="240" w:lineRule="auto"/>
        <w:rPr/>
      </w:pPr>
      <w:r w:rsidDel="00000000" w:rsidR="00000000" w:rsidRPr="00000000">
        <w:rPr>
          <w:rtl w:val="0"/>
        </w:rPr>
        <w:t xml:space="preserve">Madre o padre biológico o adoptivo de un niño/a. </w:t>
      </w:r>
    </w:p>
    <w:p w:rsidR="00000000" w:rsidDel="00000000" w:rsidP="00000000" w:rsidRDefault="00000000" w:rsidRPr="00000000" w14:paraId="000000A4">
      <w:pPr>
        <w:spacing w:after="0" w:line="240" w:lineRule="auto"/>
        <w:rPr/>
      </w:pPr>
      <w:r w:rsidDel="00000000" w:rsidR="00000000" w:rsidRPr="00000000">
        <w:rPr>
          <w:rtl w:val="0"/>
        </w:rPr>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Permanencia</w:t>
      </w:r>
    </w:p>
    <w:p w:rsidR="00000000" w:rsidDel="00000000" w:rsidP="00000000" w:rsidRDefault="00000000" w:rsidRPr="00000000" w14:paraId="000000A6">
      <w:pPr>
        <w:spacing w:after="0" w:line="240" w:lineRule="auto"/>
        <w:rPr/>
      </w:pPr>
      <w:r w:rsidDel="00000000" w:rsidR="00000000" w:rsidRPr="00000000">
        <w:rPr>
          <w:rtl w:val="0"/>
        </w:rPr>
        <w:t xml:space="preserve">Establecer conexiones con familiares para optar al acogimiento de un niño/a con el fin de proveerle dedicación a su vida, continuidad en su cuidado, la sensación de pertenecer y un estado legal y social que va más allá de la modalidad temporal del cuidado del niño/a.</w:t>
      </w:r>
    </w:p>
    <w:p w:rsidR="00000000" w:rsidDel="00000000" w:rsidP="00000000" w:rsidRDefault="00000000" w:rsidRPr="00000000" w14:paraId="000000A7">
      <w:pPr>
        <w:spacing w:after="0" w:line="240" w:lineRule="auto"/>
        <w:rPr/>
      </w:pP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Persona con dificultades funcionales</w:t>
      </w:r>
    </w:p>
    <w:p w:rsidR="00000000" w:rsidDel="00000000" w:rsidP="00000000" w:rsidRDefault="00000000" w:rsidRPr="00000000" w14:paraId="000000A9">
      <w:pPr>
        <w:spacing w:after="0" w:line="240" w:lineRule="auto"/>
        <w:rPr>
          <w:color w:val="000000"/>
        </w:rPr>
      </w:pPr>
      <w:r w:rsidDel="00000000" w:rsidR="00000000" w:rsidRPr="00000000">
        <w:rPr>
          <w:color w:val="000000"/>
          <w:rtl w:val="0"/>
        </w:rPr>
        <w:t xml:space="preserve">Persona con una discapacidad y/o impedimentos físicos o mentales.</w:t>
      </w:r>
    </w:p>
    <w:p w:rsidR="00000000" w:rsidDel="00000000" w:rsidP="00000000" w:rsidRDefault="00000000" w:rsidRPr="00000000" w14:paraId="000000AA">
      <w:pPr>
        <w:spacing w:after="0" w:line="240" w:lineRule="auto"/>
        <w:rPr>
          <w:b w:val="1"/>
          <w:color w:val="0099ff"/>
        </w:rPr>
      </w:pPr>
      <w:r w:rsidDel="00000000" w:rsidR="00000000" w:rsidRPr="00000000">
        <w:rPr>
          <w:rtl w:val="0"/>
        </w:rPr>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Abuso/Violencia física</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El abuso físico consiste en el uso de fuerza física y violenta para causar herida o sufrimiento real o probable (por ejemplo, golpear, empujar, arrojar, envenenar, quemar o escaldar, ahogar, asfixiar, ablación genital femenina, tortura).</w:t>
      </w:r>
    </w:p>
    <w:p w:rsidR="00000000" w:rsidDel="00000000" w:rsidP="00000000" w:rsidRDefault="00000000" w:rsidRPr="00000000" w14:paraId="000000AD">
      <w:pPr>
        <w:spacing w:after="0" w:line="240" w:lineRule="auto"/>
        <w:rPr>
          <w:color w:val="000000"/>
        </w:rPr>
      </w:pP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Factores de protección</w:t>
      </w:r>
    </w:p>
    <w:p w:rsidR="00000000" w:rsidDel="00000000" w:rsidP="00000000" w:rsidRDefault="00000000" w:rsidRPr="00000000" w14:paraId="000000AF">
      <w:pPr>
        <w:spacing w:after="0" w:line="240" w:lineRule="auto"/>
        <w:rPr>
          <w:color w:val="000000"/>
        </w:rPr>
      </w:pPr>
      <w:r w:rsidDel="00000000" w:rsidR="00000000" w:rsidRPr="00000000">
        <w:rPr>
          <w:color w:val="000000"/>
          <w:rtl w:val="0"/>
        </w:rPr>
        <w:t xml:space="preserve">Condiciones o atributos en individuos, familias, comunidades y la sociedad en general que cuando existen, reducen o eliminan el riesgo y aumentan la resiliencia y los mecanismos de superación del individuo.</w:t>
      </w:r>
    </w:p>
    <w:p w:rsidR="00000000" w:rsidDel="00000000" w:rsidP="00000000" w:rsidRDefault="00000000" w:rsidRPr="00000000" w14:paraId="000000B0">
      <w:pPr>
        <w:spacing w:after="0" w:line="240" w:lineRule="auto"/>
        <w:rPr>
          <w:color w:val="000000"/>
        </w:rPr>
      </w:pPr>
      <w:r w:rsidDel="00000000" w:rsidR="00000000" w:rsidRPr="00000000">
        <w:rPr>
          <w:rtl w:val="0"/>
        </w:rPr>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Violación (abuso sexual)</w:t>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Penetración no consentida (sin importar la profundidad) en la vagina, ano o boca con el pene u otra parte del cuerpo. También incluye la penetración en la vagina o el ano con un objeto.</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Ruta de remisión a servicios</w:t>
      </w:r>
    </w:p>
    <w:p w:rsidR="00000000" w:rsidDel="00000000" w:rsidP="00000000" w:rsidRDefault="00000000" w:rsidRPr="00000000" w14:paraId="000000B5">
      <w:pPr>
        <w:spacing w:after="0" w:line="240" w:lineRule="auto"/>
        <w:rPr>
          <w:color w:val="000000"/>
        </w:rPr>
      </w:pPr>
      <w:r w:rsidDel="00000000" w:rsidR="00000000" w:rsidRPr="00000000">
        <w:rPr>
          <w:color w:val="000000"/>
          <w:rtl w:val="0"/>
        </w:rPr>
        <w:t xml:space="preserve">El proceso de pedir formalmente servicios para un niño/a o su familia a otra institución mediante un proceso establecido y/o a través de formularios. El trabajador/a social mantiene la responsabilidad del caso independientemente de la ruta de remisión a servicios. </w:t>
      </w:r>
    </w:p>
    <w:p w:rsidR="00000000" w:rsidDel="00000000" w:rsidP="00000000" w:rsidRDefault="00000000" w:rsidRPr="00000000" w14:paraId="000000B6">
      <w:pPr>
        <w:spacing w:after="0" w:line="240" w:lineRule="auto"/>
        <w:rPr>
          <w:color w:val="000000"/>
        </w:rPr>
      </w:pPr>
      <w:r w:rsidDel="00000000" w:rsidR="00000000" w:rsidRPr="00000000">
        <w:rPr>
          <w:rtl w:val="0"/>
        </w:rPr>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Refugiado/a</w:t>
      </w:r>
    </w:p>
    <w:p w:rsidR="00000000" w:rsidDel="00000000" w:rsidP="00000000" w:rsidRDefault="00000000" w:rsidRPr="00000000" w14:paraId="000000B8">
      <w:pPr>
        <w:spacing w:after="0" w:line="240" w:lineRule="auto"/>
        <w:rPr/>
      </w:pPr>
      <w:r w:rsidDel="00000000" w:rsidR="00000000" w:rsidRPr="00000000">
        <w:rPr>
          <w:rtl w:val="0"/>
        </w:rPr>
        <w:t xml:space="preserve">Persona que reúna las condiciones establecidas bajo la definición aplicable al contexto de refugiado/a tal como está provista en los instrumentos regionales e internacionales de refugiados, bajo el mandato de ACNUR y/o en la legislación nacional. La Convención de 1951 sobre el estatuto de los refugiados define a un refugiado/a como la persona que, debido a fundados temores de ser perseguida por motivos de raza, religión, nacionalidad, pertenencia a determinado grupo social u opiniones políticas, se encuentre fuera del país de su nacionalidad y no pueda o, a causa de dichos temores, no quiera acogerse a la protección de tal país.</w:t>
      </w:r>
    </w:p>
    <w:p w:rsidR="00000000" w:rsidDel="00000000" w:rsidP="00000000" w:rsidRDefault="00000000" w:rsidRPr="00000000" w14:paraId="000000B9">
      <w:pPr>
        <w:spacing w:after="0" w:line="240" w:lineRule="auto"/>
        <w:rPr/>
      </w:pPr>
      <w:r w:rsidDel="00000000" w:rsidR="00000000" w:rsidRPr="00000000">
        <w:rPr>
          <w:rtl w:val="0"/>
        </w:rPr>
      </w:r>
    </w:p>
    <w:p w:rsidR="00000000" w:rsidDel="00000000" w:rsidP="00000000" w:rsidRDefault="00000000" w:rsidRPr="00000000" w14:paraId="000000BA">
      <w:pPr>
        <w:spacing w:after="0" w:line="240" w:lineRule="auto"/>
        <w:rPr/>
      </w:pPr>
      <w:r w:rsidDel="00000000" w:rsidR="00000000" w:rsidRPr="00000000">
        <w:rPr>
          <w:rtl w:val="0"/>
        </w:rPr>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Registración</w:t>
      </w:r>
    </w:p>
    <w:p w:rsidR="00000000" w:rsidDel="00000000" w:rsidP="00000000" w:rsidRDefault="00000000" w:rsidRPr="00000000" w14:paraId="000000BC">
      <w:pPr>
        <w:spacing w:after="0" w:line="240" w:lineRule="auto"/>
        <w:rPr/>
      </w:pPr>
      <w:r w:rsidDel="00000000" w:rsidR="00000000" w:rsidRPr="00000000">
        <w:rPr>
          <w:rtl w:val="0"/>
        </w:rPr>
        <w:t xml:space="preserve">Información obtenida con el propósito de establecer la identidad del niño/a y registrarlo/a para el manejo de caso.</w:t>
      </w:r>
    </w:p>
    <w:p w:rsidR="00000000" w:rsidDel="00000000" w:rsidP="00000000" w:rsidRDefault="00000000" w:rsidRPr="00000000" w14:paraId="000000BD">
      <w:pPr>
        <w:spacing w:after="0" w:line="240" w:lineRule="auto"/>
        <w:rPr>
          <w:b w:val="1"/>
          <w:color w:val="0099ff"/>
        </w:rPr>
      </w:pPr>
      <w:r w:rsidDel="00000000" w:rsidR="00000000" w:rsidRPr="00000000">
        <w:rPr>
          <w:rtl w:val="0"/>
        </w:rPr>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Reasentamiento</w:t>
      </w:r>
    </w:p>
    <w:p w:rsidR="00000000" w:rsidDel="00000000" w:rsidP="00000000" w:rsidRDefault="00000000" w:rsidRPr="00000000" w14:paraId="000000BF">
      <w:pPr>
        <w:spacing w:after="0" w:line="240" w:lineRule="auto"/>
        <w:rPr/>
      </w:pPr>
      <w:r w:rsidDel="00000000" w:rsidR="00000000" w:rsidRPr="00000000">
        <w:rPr>
          <w:rtl w:val="0"/>
        </w:rPr>
        <w:t xml:space="preserve">La selección y el traslado de refugiados de un país donde pidieron protección a un tercer país que aceptó admitirlos – como refugiados – con estado permanente de residencia. El estado permanente de residencia debería asegurar protección contra el principio fundamental de no devolución (</w:t>
      </w:r>
      <w:r w:rsidDel="00000000" w:rsidR="00000000" w:rsidRPr="00000000">
        <w:rPr>
          <w:i w:val="1"/>
          <w:rtl w:val="0"/>
        </w:rPr>
        <w:t xml:space="preserve">refoulement </w:t>
      </w:r>
      <w:r w:rsidDel="00000000" w:rsidR="00000000" w:rsidRPr="00000000">
        <w:rPr>
          <w:rtl w:val="0"/>
        </w:rPr>
        <w:t xml:space="preserve">en francés) además de ayudar al refugiado/a y a su familia o dependientes ya asentados a acceder a sus derechos civiles, políticos, económicos, sociales y culturales similares a los que disfrutan los ciudadanos nacionales.</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Resiliencia</w:t>
      </w:r>
    </w:p>
    <w:p w:rsidR="00000000" w:rsidDel="00000000" w:rsidP="00000000" w:rsidRDefault="00000000" w:rsidRPr="00000000" w14:paraId="000000C2">
      <w:pPr>
        <w:spacing w:after="0" w:line="240" w:lineRule="auto"/>
        <w:rPr>
          <w:color w:val="000000"/>
        </w:rPr>
      </w:pPr>
      <w:r w:rsidDel="00000000" w:rsidR="00000000" w:rsidRPr="00000000">
        <w:rPr>
          <w:color w:val="000000"/>
          <w:rtl w:val="0"/>
        </w:rPr>
        <w:t xml:space="preserve">La habilidad de los niños/as y sus familias de enfrentarse y recuperarse de las adversidades y crisis. Esta habilidad se ve influida por características individuales y de factores externos como: la diversidad de subsistencias, mecanismos de superación, aptitudes y habilidades para la vida tales como saber resolver problemas, la habilidad de buscar y pedir ayuda, motivación, optimismo, fe, perseverancia y la capacidad de improvisación.</w:t>
      </w:r>
    </w:p>
    <w:p w:rsidR="00000000" w:rsidDel="00000000" w:rsidP="00000000" w:rsidRDefault="00000000" w:rsidRPr="00000000" w14:paraId="000000C3">
      <w:pPr>
        <w:spacing w:after="0" w:line="240" w:lineRule="auto"/>
        <w:rPr>
          <w:color w:val="000000"/>
        </w:rPr>
      </w:pPr>
      <w:r w:rsidDel="00000000" w:rsidR="00000000" w:rsidRPr="00000000">
        <w:rPr>
          <w:rtl w:val="0"/>
        </w:rPr>
      </w:r>
    </w:p>
    <w:p w:rsidR="00000000" w:rsidDel="00000000" w:rsidP="00000000" w:rsidRDefault="00000000" w:rsidRPr="00000000" w14:paraId="000000C4">
      <w:pPr>
        <w:spacing w:after="0" w:line="240" w:lineRule="auto"/>
        <w:rPr>
          <w:color w:val="ff0000"/>
        </w:rPr>
      </w:pPr>
      <w:r w:rsidDel="00000000" w:rsidR="00000000" w:rsidRPr="00000000">
        <w:rPr>
          <w:b w:val="1"/>
          <w:color w:val="405d78"/>
          <w:rtl w:val="0"/>
        </w:rPr>
        <w:t xml:space="preserve">Reunificación</w:t>
      </w:r>
      <w:r w:rsidDel="00000000" w:rsidR="00000000" w:rsidRPr="00000000">
        <w:rPr>
          <w:rtl w:val="0"/>
        </w:rPr>
      </w:r>
    </w:p>
    <w:p w:rsidR="00000000" w:rsidDel="00000000" w:rsidP="00000000" w:rsidRDefault="00000000" w:rsidRPr="00000000" w14:paraId="000000C5">
      <w:pPr>
        <w:spacing w:after="0" w:line="240" w:lineRule="auto"/>
        <w:rPr/>
      </w:pPr>
      <w:r w:rsidDel="00000000" w:rsidR="00000000" w:rsidRPr="00000000">
        <w:rPr>
          <w:rtl w:val="0"/>
        </w:rPr>
        <w:t xml:space="preserve">Es el proceso de juntar al niño/a con su familia o su cuidador previo con el fin de crear o reestablecer su cuidado a largo plazo. </w:t>
      </w:r>
    </w:p>
    <w:p w:rsidR="00000000" w:rsidDel="00000000" w:rsidP="00000000" w:rsidRDefault="00000000" w:rsidRPr="00000000" w14:paraId="000000C6">
      <w:pPr>
        <w:spacing w:after="0" w:line="240" w:lineRule="auto"/>
        <w:rPr/>
      </w:pPr>
      <w:r w:rsidDel="00000000" w:rsidR="00000000" w:rsidRPr="00000000">
        <w:rPr>
          <w:rtl w:val="0"/>
        </w:rPr>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Revisión del caso</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Reuniones habituales para aquellos responsables del niño/a y de mantener el interés superior del niño/a, y en el que se examina el progreso, actual y futuro del plan del caso. </w:t>
      </w:r>
    </w:p>
    <w:p w:rsidR="00000000" w:rsidDel="00000000" w:rsidP="00000000" w:rsidRDefault="00000000" w:rsidRPr="00000000" w14:paraId="000000C9">
      <w:pPr>
        <w:spacing w:after="0" w:line="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Factores de riesgo</w:t>
      </w:r>
    </w:p>
    <w:p w:rsidR="00000000" w:rsidDel="00000000" w:rsidP="00000000" w:rsidRDefault="00000000" w:rsidRPr="00000000" w14:paraId="000000CB">
      <w:pPr>
        <w:spacing w:after="0" w:line="240" w:lineRule="auto"/>
        <w:rPr>
          <w:color w:val="000000"/>
        </w:rPr>
      </w:pPr>
      <w:r w:rsidDel="00000000" w:rsidR="00000000" w:rsidRPr="00000000">
        <w:rPr>
          <w:color w:val="000000"/>
          <w:rtl w:val="0"/>
        </w:rPr>
        <w:t xml:space="preserve">Condiciones o atributos en individuales, familias, comunidades y la sociedad en general que cuando existen, aumentan la vulnerabilidad de un niño/a.</w:t>
      </w:r>
    </w:p>
    <w:p w:rsidR="00000000" w:rsidDel="00000000" w:rsidP="00000000" w:rsidRDefault="00000000" w:rsidRPr="00000000" w14:paraId="000000CC">
      <w:pPr>
        <w:spacing w:after="0" w:line="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Niños/as separados </w:t>
      </w:r>
    </w:p>
    <w:p w:rsidR="00000000" w:rsidDel="00000000" w:rsidP="00000000" w:rsidRDefault="00000000" w:rsidRPr="00000000" w14:paraId="000000CE">
      <w:pPr>
        <w:spacing w:after="0" w:line="240" w:lineRule="auto"/>
        <w:rPr/>
      </w:pPr>
      <w:r w:rsidDel="00000000" w:rsidR="00000000" w:rsidRPr="00000000">
        <w:rPr>
          <w:rtl w:val="0"/>
        </w:rPr>
        <w:t xml:space="preserve">Aquellos que se separaron de ambos padres, o de su previo cuidador primario legal o tradicional pero no necesariamente de parientes o familiares. Niños/as separados se refieren también a niños/as acompañados por otros miembros adultos de la familia.</w:t>
      </w:r>
    </w:p>
    <w:p w:rsidR="00000000" w:rsidDel="00000000" w:rsidP="00000000" w:rsidRDefault="00000000" w:rsidRPr="00000000" w14:paraId="000000CF">
      <w:pPr>
        <w:spacing w:after="0" w:line="240" w:lineRule="auto"/>
        <w:rPr/>
      </w:pPr>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Violencia/ Abuso sexual </w:t>
      </w:r>
    </w:p>
    <w:p w:rsidR="00000000" w:rsidDel="00000000" w:rsidP="00000000" w:rsidRDefault="00000000" w:rsidRPr="00000000" w14:paraId="000000D1">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Any</w:t>
      </w:r>
      <w:r w:rsidDel="00000000" w:rsidR="00000000" w:rsidRPr="00000000">
        <w:rPr>
          <w:rtl w:val="0"/>
        </w:rPr>
        <w:t xml:space="preserve"> form of non-consensual sexual contact that does not result in or include penetration. Examples include: attempted rape, unwanted kissing, fondling, or touching of genitalia and buttocks. </w:t>
      </w:r>
      <w:r w:rsidDel="00000000" w:rsidR="00000000" w:rsidRPr="00000000">
        <w:rPr>
          <w:rtl w:val="0"/>
        </w:rPr>
      </w:r>
    </w:p>
    <w:p w:rsidR="00000000" w:rsidDel="00000000" w:rsidP="00000000" w:rsidRDefault="00000000" w:rsidRPr="00000000" w14:paraId="000000D2">
      <w:pPr>
        <w:spacing w:after="0" w:line="240" w:lineRule="auto"/>
        <w:rPr>
          <w:rFonts w:ascii="Calibri" w:cs="Calibri" w:eastAsia="Calibri" w:hAnsi="Calibri"/>
          <w:sz w:val="14"/>
          <w:szCs w:val="14"/>
        </w:rPr>
      </w:pPr>
      <w:r w:rsidDel="00000000" w:rsidR="00000000" w:rsidRPr="00000000">
        <w:rPr>
          <w:rtl w:val="0"/>
        </w:rPr>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Explotación sexual </w:t>
      </w:r>
    </w:p>
    <w:p w:rsidR="00000000" w:rsidDel="00000000" w:rsidP="00000000" w:rsidRDefault="00000000" w:rsidRPr="00000000" w14:paraId="000000D4">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Cualquier abuso real o intento de abuso desde una posición de vulnerabilidad, poder diferencial o de confianza con intenciones y propósitos sexuales. Incluye beneficios monetarios, sociales o políticos a raíz de la explotación sexual.</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Servicios de apoyo de salud mental y psicosocial especializados (MHPSS siglas en inglés) </w:t>
      </w:r>
    </w:p>
    <w:p w:rsidR="00000000" w:rsidDel="00000000" w:rsidP="00000000" w:rsidRDefault="00000000" w:rsidRPr="00000000" w14:paraId="000000D7">
      <w:pPr>
        <w:shd w:fill="ffffff" w:val="clear"/>
        <w:spacing w:after="0" w:line="240" w:lineRule="auto"/>
        <w:rPr>
          <w:rFonts w:ascii="Calibri" w:cs="Calibri" w:eastAsia="Calibri" w:hAnsi="Calibri"/>
        </w:rPr>
      </w:pPr>
      <w:r w:rsidDel="00000000" w:rsidR="00000000" w:rsidRPr="00000000">
        <w:rPr>
          <w:rFonts w:ascii="Calibri" w:cs="Calibri" w:eastAsia="Calibri" w:hAnsi="Calibri"/>
          <w:rtl w:val="0"/>
        </w:rPr>
        <w:t xml:space="preserve">Son servicios especializados que médicos de la salud mental y profesionales del sector social proporcionan e incluyen cuidado para niños/as y sus cuidadores que presentan trastornos mentales preexistentes y discapacitación (desarrollo e intelectual) que pudieran empeorar en una situación de emergencia. También incluye cuidado para aquellos que son proclives a desarrollar o han desarrollado problemas de salud mental o que sufren de estrés tan severo que interfiere con el día a día y que fue causado por una situación de emergencia. Los servicios especializados pueden incluir intervenciones de salud mental, es decir, tratamiento psicológico y/o psiquiátrico y de servicios sociales como, por ejemplo, gestión de casos de salud mental.</w:t>
      </w:r>
    </w:p>
    <w:p w:rsidR="00000000" w:rsidDel="00000000" w:rsidP="00000000" w:rsidRDefault="00000000" w:rsidRPr="00000000" w14:paraId="000000D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Supervisión</w:t>
      </w:r>
    </w:p>
    <w:p w:rsidR="00000000" w:rsidDel="00000000" w:rsidP="00000000" w:rsidRDefault="00000000" w:rsidRPr="00000000" w14:paraId="000000DA">
      <w:pPr>
        <w:spacing w:after="0" w:line="240" w:lineRule="auto"/>
        <w:rPr/>
      </w:pPr>
      <w:r w:rsidDel="00000000" w:rsidR="00000000" w:rsidRPr="00000000">
        <w:rPr>
          <w:rtl w:val="0"/>
        </w:rPr>
        <w:t xml:space="preserve">Una relación que ayuda en la práctica y la competencia técnica del trabajador/a social, que promueve el bienestar y permite el monitoreo efectivo y solidario de los casos.</w:t>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Menores/ niños/as sin acompañar</w:t>
      </w:r>
    </w:p>
    <w:p w:rsidR="00000000" w:rsidDel="00000000" w:rsidP="00000000" w:rsidRDefault="00000000" w:rsidRPr="00000000" w14:paraId="000000DD">
      <w:pPr>
        <w:spacing w:after="0" w:line="240" w:lineRule="auto"/>
        <w:rPr/>
      </w:pPr>
      <w:r w:rsidDel="00000000" w:rsidR="00000000" w:rsidRPr="00000000">
        <w:rPr>
          <w:rtl w:val="0"/>
        </w:rPr>
        <w:t xml:space="preserve">Niños/as que se separaron de ambos padres y de sus otros familiares y parientes y no tienen a ningún adulto, ni por ley ni por tradición que se haga cargo de ellos/as.</w:t>
      </w:r>
    </w:p>
    <w:p w:rsidR="00000000" w:rsidDel="00000000" w:rsidP="00000000" w:rsidRDefault="00000000" w:rsidRPr="00000000" w14:paraId="000000DE">
      <w:pPr>
        <w:spacing w:after="0" w:line="240" w:lineRule="auto"/>
        <w:rPr/>
      </w:pPr>
      <w:r w:rsidDel="00000000" w:rsidR="00000000" w:rsidRPr="00000000">
        <w:rPr>
          <w:rtl w:val="0"/>
        </w:rPr>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Verificación</w:t>
      </w:r>
    </w:p>
    <w:p w:rsidR="00000000" w:rsidDel="00000000" w:rsidP="00000000" w:rsidRDefault="00000000" w:rsidRPr="00000000" w14:paraId="000000E0">
      <w:pPr>
        <w:spacing w:after="0" w:line="240" w:lineRule="auto"/>
        <w:rPr/>
      </w:pPr>
      <w:r w:rsidDel="00000000" w:rsidR="00000000" w:rsidRPr="00000000">
        <w:rPr>
          <w:rtl w:val="0"/>
        </w:rPr>
        <w:t xml:space="preserve">El proceso de establecer la validez de las relaciones y de confirmar el deseo del niño/a y del familiar a ser reunidos.</w:t>
      </w:r>
    </w:p>
    <w:p w:rsidR="00000000" w:rsidDel="00000000" w:rsidP="00000000" w:rsidRDefault="00000000" w:rsidRPr="00000000" w14:paraId="000000E1">
      <w:pPr>
        <w:spacing w:after="0" w:line="240" w:lineRule="auto"/>
        <w:rPr/>
      </w:pPr>
      <w:r w:rsidDel="00000000" w:rsidR="00000000" w:rsidRPr="00000000">
        <w:rPr>
          <w:rtl w:val="0"/>
        </w:rPr>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Repatriación voluntaria</w:t>
      </w:r>
    </w:p>
    <w:p w:rsidR="00000000" w:rsidDel="00000000" w:rsidP="00000000" w:rsidRDefault="00000000" w:rsidRPr="00000000" w14:paraId="000000E3">
      <w:pPr>
        <w:spacing w:after="0" w:line="240" w:lineRule="auto"/>
        <w:rPr/>
      </w:pPr>
      <w:bookmarkStart w:colFirst="0" w:colLast="0" w:name="_heading=h.gjdgxs" w:id="0"/>
      <w:bookmarkEnd w:id="0"/>
      <w:r w:rsidDel="00000000" w:rsidR="00000000" w:rsidRPr="00000000">
        <w:rPr>
          <w:rtl w:val="0"/>
        </w:rPr>
        <w:t xml:space="preserve">El regreso “de manera segura y con dignidad”: es decir, regresar en y a condiciones de seguridad física, legal y material, con la restauración complete de medidas nacionales de protección como objetivo final. La repatriación voluntaria es una decisión libre e informada del refugiado/a.</w:t>
      </w:r>
    </w:p>
    <w:p w:rsidR="00000000" w:rsidDel="00000000" w:rsidP="00000000" w:rsidRDefault="00000000" w:rsidRPr="00000000" w14:paraId="000000E4">
      <w:pPr>
        <w:spacing w:after="0" w:line="240" w:lineRule="auto"/>
        <w:rPr>
          <w:color w:val="000000"/>
        </w:rPr>
      </w:pPr>
      <w:r w:rsidDel="00000000" w:rsidR="00000000" w:rsidRPr="00000000">
        <w:rPr>
          <w:rtl w:val="0"/>
        </w:rPr>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Vulnerabilidad</w:t>
      </w:r>
    </w:p>
    <w:p w:rsidR="00000000" w:rsidDel="00000000" w:rsidP="00000000" w:rsidRDefault="00000000" w:rsidRPr="00000000" w14:paraId="000000E6">
      <w:pPr>
        <w:spacing w:after="0" w:line="240" w:lineRule="auto"/>
        <w:rPr>
          <w:color w:val="000000"/>
        </w:rPr>
      </w:pPr>
      <w:r w:rsidDel="00000000" w:rsidR="00000000" w:rsidRPr="00000000">
        <w:rPr>
          <w:color w:val="000000"/>
          <w:rtl w:val="0"/>
        </w:rPr>
        <w:t xml:space="preserve">Factores físicos, sociales, económicos y del medio ambiente que aumentan la propensión de una comunidad o individuos a las dificultades y los peligros que pueden ponerlos en riesgo de pérdida, daño, inseguridad, sufrimiento y muerte como posible consecuencia. </w:t>
      </w:r>
    </w:p>
    <w:p w:rsidR="00000000" w:rsidDel="00000000" w:rsidP="00000000" w:rsidRDefault="00000000" w:rsidRPr="00000000" w14:paraId="000000E7">
      <w:pPr>
        <w:spacing w:after="0" w:line="240" w:lineRule="auto"/>
        <w:rPr>
          <w:color w:val="000000"/>
        </w:rPr>
      </w:pPr>
      <w:r w:rsidDel="00000000" w:rsidR="00000000" w:rsidRPr="00000000">
        <w:rPr>
          <w:rtl w:val="0"/>
        </w:rPr>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405d78"/>
          <w:sz w:val="24"/>
          <w:szCs w:val="24"/>
          <w:u w:val="none"/>
          <w:shd w:fill="auto" w:val="clear"/>
          <w:vertAlign w:val="baseline"/>
        </w:rPr>
      </w:pPr>
      <w:r w:rsidDel="00000000" w:rsidR="00000000" w:rsidRPr="00000000">
        <w:rPr>
          <w:rFonts w:ascii="Calibri" w:cs="Calibri" w:eastAsia="Calibri" w:hAnsi="Calibri"/>
          <w:b w:val="1"/>
          <w:i w:val="0"/>
          <w:smallCaps w:val="0"/>
          <w:strike w:val="0"/>
          <w:color w:val="405d78"/>
          <w:sz w:val="24"/>
          <w:szCs w:val="24"/>
          <w:u w:val="none"/>
          <w:shd w:fill="auto" w:val="clear"/>
          <w:vertAlign w:val="baseline"/>
          <w:rtl w:val="0"/>
        </w:rPr>
        <w:t xml:space="preserve">Las peores formas de trabajo infantil </w:t>
      </w:r>
    </w:p>
    <w:p w:rsidR="00000000" w:rsidDel="00000000" w:rsidP="00000000" w:rsidRDefault="00000000" w:rsidRPr="00000000" w14:paraId="000000E9">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Están prohibidas a cualquier persona menor de 18 años y deben eliminarse como cuestión urgente bajo la ruta de remisión de trabajo infantil. Se incluyen:</w:t>
      </w:r>
    </w:p>
    <w:p w:rsidR="00000000" w:rsidDel="00000000" w:rsidP="00000000" w:rsidRDefault="00000000" w:rsidRPr="00000000" w14:paraId="000000EA">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E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Todas las formas de esclavitud o prácticas parecidas a la esclavitud, como la venta y la trata de niños, servidumbre por deuda y la condición de siervo, trabajo forzado y contra la voluntad que incluye el reclutamiento forzado y contra la voluntad de los niños/as para su uso en un conflicto armado;</w:t>
      </w:r>
    </w:p>
    <w:p w:rsidR="00000000" w:rsidDel="00000000" w:rsidP="00000000" w:rsidRDefault="00000000" w:rsidRPr="00000000" w14:paraId="000000E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El uso, adquisición u ofrenda de un niño/a a prostitución, para la producción de pornografía o para espectáculos pornográficos;</w:t>
      </w:r>
    </w:p>
    <w:p w:rsidR="00000000" w:rsidDel="00000000" w:rsidP="00000000" w:rsidRDefault="00000000" w:rsidRPr="00000000" w14:paraId="000000E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El uso, adquisición u ofrenda de un niño/a para actividades ilícitas, en particular para la producción y el tráfico de drogas como está definido en los tratados internacionales; trabajo el cual, por su naturaleza o por las condiciones en las que se opera, es probable que dañe la salud, seguridad o moralidad de los niños/as y que también se conoce como “trabajo peligroso”.</w:t>
      </w:r>
    </w:p>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sectPr>
      <w:headerReference r:id="rId10" w:type="default"/>
      <w:headerReference r:id="rId11" w:type="first"/>
      <w:headerReference r:id="rId12" w:type="even"/>
      <w:footerReference r:id="rId13" w:type="default"/>
      <w:pgSz w:h="16838" w:w="11906"/>
      <w:pgMar w:bottom="1418" w:top="1418" w:left="1418" w:right="1418"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right"/>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 of 9</w:t>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360" w:firstLine="0"/>
      <w:jc w:val="both"/>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Formularios para el manejo de casos para la protección infantil en situaciones humanitarias – </w:t>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360" w:firstLine="0"/>
      <w:jc w:val="both"/>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Lista de términos claves</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EF">
      <w:pPr>
        <w:spacing w:after="0" w:line="240" w:lineRule="auto"/>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color w:val="000000"/>
          <w:sz w:val="16"/>
          <w:szCs w:val="16"/>
          <w:rtl w:val="0"/>
        </w:rPr>
        <w:t xml:space="preserve">Las definiciones de los términos claves que se usan en los formularios han sido extraídas los siguientes documentos: las Directrices Interinstitucionales para el manejo de casos y la protección de la infancia (2014), las Directrices Interinstitucionales para el manejo de casos de violencia de género, las Normas Mínimas de Protección de la Infancia en acción humanitaria (2012),  Paquete de herramientas para el cuidado alternativo en situaciones de emergencias de la Comisión Técnica interinstitucional para niños/as sin acompañar y separados (2013), Guía del Comité Permanente entre Organismos sobre Salud mental y apoyo psicosocial (2007), Guías de cuidado para niños/as supervivientes de abuso sexual (2012), Directrices para la evaluación y la determinación del interés superior del niño (2018), Paquete de herramienta interinstitucional: Apoyando las necesidades de protección para los niños que trabajan en situaciones de emergencias (2017) y el paquete de orientación y supervisión en el manejo de casos (2018).</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s-ES"/>
      </w:rPr>
    </w:rPrDefault>
    <w:pPrDefault>
      <w:pPr>
        <w:spacing w:after="160" w:line="259"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pBdr>
        <w:bottom w:color="5b9bd5" w:space="4" w:sz="8" w:val="single"/>
      </w:pBdr>
      <w:spacing w:after="300" w:line="240" w:lineRule="auto"/>
      <w:jc w:val="left"/>
    </w:pPr>
    <w:rPr>
      <w:rFonts w:ascii="Calibri" w:cs="Calibri" w:eastAsia="Calibri" w:hAnsi="Calibri"/>
      <w:color w:val="323e4f"/>
      <w:sz w:val="52"/>
      <w:szCs w:val="52"/>
    </w:rPr>
  </w:style>
  <w:style w:type="paragraph" w:styleId="Normal" w:default="1">
    <w:name w:val="Normal"/>
    <w:qFormat w:val="1"/>
    <w:rsid w:val="007F2C68"/>
    <w:pPr>
      <w:jc w:val="both"/>
    </w:pPr>
    <w:rPr>
      <w:sz w:val="24"/>
      <w:lang w:val="en-ZA"/>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note" w:customStyle="1">
    <w:name w:val="Footnote"/>
    <w:basedOn w:val="Normal"/>
    <w:link w:val="FootnoteReference"/>
    <w:autoRedefine w:val="1"/>
    <w:uiPriority w:val="99"/>
    <w:qFormat w:val="1"/>
    <w:rsid w:val="007F2C68"/>
    <w:pPr>
      <w:spacing w:line="240" w:lineRule="auto"/>
    </w:pPr>
    <w:rPr>
      <w:rFonts w:ascii="Arial" w:hAnsi="Arial"/>
      <w:sz w:val="20"/>
      <w:szCs w:val="24"/>
      <w:vertAlign w:val="superscript"/>
      <w:lang w:val="en-US"/>
    </w:rPr>
  </w:style>
  <w:style w:type="character" w:styleId="FootnoteReference">
    <w:name w:val="footnote reference"/>
    <w:aliases w:val="Footnote Char"/>
    <w:link w:val="Footnote"/>
    <w:uiPriority w:val="99"/>
    <w:unhideWhenUsed w:val="1"/>
    <w:qFormat w:val="1"/>
    <w:rsid w:val="007F2C68"/>
    <w:rPr>
      <w:rFonts w:ascii="Arial" w:hAnsi="Arial"/>
      <w:sz w:val="20"/>
      <w:szCs w:val="24"/>
      <w:vertAlign w:val="superscript"/>
      <w:lang w:val="en-US"/>
    </w:rPr>
  </w:style>
  <w:style w:type="paragraph" w:styleId="ListParagraph">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ListParagraphChar"/>
    <w:uiPriority w:val="34"/>
    <w:qFormat w:val="1"/>
    <w:rsid w:val="007F2C68"/>
    <w:pPr>
      <w:ind w:left="720"/>
      <w:contextualSpacing w:val="1"/>
    </w:pPr>
  </w:style>
  <w:style w:type="paragraph" w:styleId="NoSpacing">
    <w:name w:val="No Spacing"/>
    <w:link w:val="NoSpacingChar"/>
    <w:uiPriority w:val="1"/>
    <w:qFormat w:val="1"/>
    <w:rsid w:val="007F2C68"/>
    <w:pPr>
      <w:spacing w:after="0" w:line="240" w:lineRule="auto"/>
      <w:jc w:val="both"/>
    </w:pPr>
    <w:rPr>
      <w:sz w:val="24"/>
      <w:lang w:val="en-ZA"/>
    </w:rPr>
  </w:style>
  <w:style w:type="character" w:styleId="ListParagraphChar" w:customStyle="1">
    <w:name w:val="List Paragraph Char"/>
    <w:aliases w:val="MCHIP_list paragraph Char,List Paragraph1 Char,Recommendation Char,List Paragraph (numbered (a)) Char,Dot pt Char,F5 List Paragraph Char,No Spacing1 Char,List Paragraph Char Char Char Char,Indicator Text Char,Numbered Para 1 Char"/>
    <w:basedOn w:val="DefaultParagraphFont"/>
    <w:link w:val="ListParagraph"/>
    <w:uiPriority w:val="34"/>
    <w:locked w:val="1"/>
    <w:rsid w:val="007F2C68"/>
    <w:rPr>
      <w:sz w:val="24"/>
      <w:lang w:val="en-ZA"/>
    </w:rPr>
  </w:style>
  <w:style w:type="paragraph" w:styleId="Default" w:customStyle="1">
    <w:name w:val="Default"/>
    <w:rsid w:val="007F2C68"/>
    <w:pPr>
      <w:autoSpaceDE w:val="0"/>
      <w:autoSpaceDN w:val="0"/>
      <w:adjustRightInd w:val="0"/>
      <w:spacing w:after="0" w:line="240" w:lineRule="auto"/>
    </w:pPr>
    <w:rPr>
      <w:rFonts w:ascii="Arial Narrow" w:cs="Arial Narrow" w:eastAsia="Times New Roman" w:hAnsi="Arial Narrow"/>
      <w:color w:val="000000"/>
      <w:sz w:val="24"/>
      <w:szCs w:val="24"/>
      <w:lang w:val="en-US"/>
    </w:rPr>
  </w:style>
  <w:style w:type="character" w:styleId="NoSpacingChar" w:customStyle="1">
    <w:name w:val="No Spacing Char"/>
    <w:link w:val="NoSpacing"/>
    <w:uiPriority w:val="1"/>
    <w:rsid w:val="007F2C68"/>
    <w:rPr>
      <w:sz w:val="24"/>
      <w:lang w:val="en-ZA"/>
    </w:rPr>
  </w:style>
  <w:style w:type="paragraph" w:styleId="Header">
    <w:name w:val="header"/>
    <w:basedOn w:val="Normal"/>
    <w:link w:val="HeaderChar"/>
    <w:uiPriority w:val="99"/>
    <w:unhideWhenUsed w:val="1"/>
    <w:rsid w:val="007F2C68"/>
    <w:pPr>
      <w:tabs>
        <w:tab w:val="center" w:pos="4536"/>
        <w:tab w:val="right" w:pos="9072"/>
      </w:tabs>
      <w:spacing w:after="0" w:line="240" w:lineRule="auto"/>
    </w:pPr>
  </w:style>
  <w:style w:type="character" w:styleId="HeaderChar" w:customStyle="1">
    <w:name w:val="Header Char"/>
    <w:basedOn w:val="DefaultParagraphFont"/>
    <w:link w:val="Header"/>
    <w:uiPriority w:val="99"/>
    <w:rsid w:val="007F2C68"/>
    <w:rPr>
      <w:sz w:val="24"/>
      <w:lang w:val="en-ZA"/>
    </w:rPr>
  </w:style>
  <w:style w:type="paragraph" w:styleId="Footer">
    <w:name w:val="footer"/>
    <w:basedOn w:val="Normal"/>
    <w:link w:val="FooterChar"/>
    <w:uiPriority w:val="99"/>
    <w:unhideWhenUsed w:val="1"/>
    <w:rsid w:val="007F2C68"/>
    <w:pPr>
      <w:tabs>
        <w:tab w:val="center" w:pos="4536"/>
        <w:tab w:val="right" w:pos="9072"/>
      </w:tabs>
      <w:spacing w:after="0" w:line="240" w:lineRule="auto"/>
    </w:pPr>
  </w:style>
  <w:style w:type="character" w:styleId="FooterChar" w:customStyle="1">
    <w:name w:val="Footer Char"/>
    <w:basedOn w:val="DefaultParagraphFont"/>
    <w:link w:val="Footer"/>
    <w:uiPriority w:val="99"/>
    <w:rsid w:val="007F2C68"/>
    <w:rPr>
      <w:sz w:val="24"/>
      <w:lang w:val="en-ZA"/>
    </w:rPr>
  </w:style>
  <w:style w:type="character" w:styleId="PageNumber">
    <w:name w:val="page number"/>
    <w:basedOn w:val="DefaultParagraphFont"/>
    <w:uiPriority w:val="99"/>
    <w:semiHidden w:val="1"/>
    <w:unhideWhenUsed w:val="1"/>
    <w:rsid w:val="007F2C68"/>
  </w:style>
  <w:style w:type="character" w:styleId="SubtleReference">
    <w:name w:val="Subtle Reference"/>
    <w:basedOn w:val="DefaultParagraphFont"/>
    <w:uiPriority w:val="31"/>
    <w:qFormat w:val="1"/>
    <w:rsid w:val="00CA1BA1"/>
    <w:rPr>
      <w:smallCaps w:val="1"/>
      <w:color w:val="ed7d31" w:themeColor="accent2"/>
      <w:u w:val="single"/>
    </w:rPr>
  </w:style>
  <w:style w:type="paragraph" w:styleId="Title">
    <w:name w:val="Title"/>
    <w:basedOn w:val="Normal"/>
    <w:next w:val="Normal"/>
    <w:link w:val="TitleChar"/>
    <w:uiPriority w:val="10"/>
    <w:qFormat w:val="1"/>
    <w:rsid w:val="00EB028E"/>
    <w:pPr>
      <w:pBdr>
        <w:bottom w:color="5b9bd5" w:space="4" w:sz="8" w:themeColor="accent1" w:val="single"/>
      </w:pBdr>
      <w:spacing w:after="300" w:line="240" w:lineRule="auto"/>
      <w:contextualSpacing w:val="1"/>
      <w:jc w:val="left"/>
    </w:pPr>
    <w:rPr>
      <w:rFonts w:asciiTheme="majorHAnsi" w:cstheme="majorBidi" w:eastAsiaTheme="majorEastAsia" w:hAnsiTheme="majorHAnsi"/>
      <w:color w:val="323e4f" w:themeColor="text2" w:themeShade="0000BF"/>
      <w:spacing w:val="5"/>
      <w:kern w:val="28"/>
      <w:sz w:val="52"/>
      <w:szCs w:val="52"/>
      <w:lang w:val="en-US"/>
    </w:rPr>
  </w:style>
  <w:style w:type="character" w:styleId="TitleChar" w:customStyle="1">
    <w:name w:val="Title Char"/>
    <w:basedOn w:val="DefaultParagraphFont"/>
    <w:link w:val="Title"/>
    <w:uiPriority w:val="10"/>
    <w:rsid w:val="00EB028E"/>
    <w:rPr>
      <w:rFonts w:asciiTheme="majorHAnsi" w:cstheme="majorBidi" w:eastAsiaTheme="majorEastAsia" w:hAnsiTheme="majorHAnsi"/>
      <w:color w:val="323e4f" w:themeColor="text2" w:themeShade="0000BF"/>
      <w:spacing w:val="5"/>
      <w:kern w:val="28"/>
      <w:sz w:val="52"/>
      <w:szCs w:val="52"/>
      <w:lang w:val="en-US"/>
    </w:rPr>
  </w:style>
  <w:style w:type="character" w:styleId="CommentReference">
    <w:name w:val="annotation reference"/>
    <w:basedOn w:val="DefaultParagraphFont"/>
    <w:uiPriority w:val="99"/>
    <w:semiHidden w:val="1"/>
    <w:unhideWhenUsed w:val="1"/>
    <w:rsid w:val="003352CB"/>
    <w:rPr>
      <w:sz w:val="16"/>
      <w:szCs w:val="16"/>
    </w:rPr>
  </w:style>
  <w:style w:type="paragraph" w:styleId="CommentText">
    <w:name w:val="annotation text"/>
    <w:basedOn w:val="Normal"/>
    <w:link w:val="CommentTextChar"/>
    <w:uiPriority w:val="99"/>
    <w:semiHidden w:val="1"/>
    <w:unhideWhenUsed w:val="1"/>
    <w:rsid w:val="003352CB"/>
    <w:pPr>
      <w:spacing w:line="240" w:lineRule="auto"/>
    </w:pPr>
    <w:rPr>
      <w:sz w:val="20"/>
      <w:szCs w:val="20"/>
    </w:rPr>
  </w:style>
  <w:style w:type="character" w:styleId="CommentTextChar" w:customStyle="1">
    <w:name w:val="Comment Text Char"/>
    <w:basedOn w:val="DefaultParagraphFont"/>
    <w:link w:val="CommentText"/>
    <w:uiPriority w:val="99"/>
    <w:semiHidden w:val="1"/>
    <w:rsid w:val="003352CB"/>
    <w:rPr>
      <w:sz w:val="20"/>
      <w:szCs w:val="20"/>
      <w:lang w:val="en-ZA"/>
    </w:rPr>
  </w:style>
  <w:style w:type="paragraph" w:styleId="CommentSubject">
    <w:name w:val="annotation subject"/>
    <w:basedOn w:val="CommentText"/>
    <w:next w:val="CommentText"/>
    <w:link w:val="CommentSubjectChar"/>
    <w:uiPriority w:val="99"/>
    <w:semiHidden w:val="1"/>
    <w:unhideWhenUsed w:val="1"/>
    <w:rsid w:val="003352CB"/>
    <w:rPr>
      <w:b w:val="1"/>
      <w:bCs w:val="1"/>
    </w:rPr>
  </w:style>
  <w:style w:type="character" w:styleId="CommentSubjectChar" w:customStyle="1">
    <w:name w:val="Comment Subject Char"/>
    <w:basedOn w:val="CommentTextChar"/>
    <w:link w:val="CommentSubject"/>
    <w:uiPriority w:val="99"/>
    <w:semiHidden w:val="1"/>
    <w:rsid w:val="003352CB"/>
    <w:rPr>
      <w:b w:val="1"/>
      <w:bCs w:val="1"/>
      <w:sz w:val="20"/>
      <w:szCs w:val="20"/>
      <w:lang w:val="en-ZA"/>
    </w:rPr>
  </w:style>
  <w:style w:type="paragraph" w:styleId="BalloonText">
    <w:name w:val="Balloon Text"/>
    <w:basedOn w:val="Normal"/>
    <w:link w:val="BalloonTextChar"/>
    <w:uiPriority w:val="99"/>
    <w:semiHidden w:val="1"/>
    <w:unhideWhenUsed w:val="1"/>
    <w:rsid w:val="003352CB"/>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352CB"/>
    <w:rPr>
      <w:rFonts w:ascii="Segoe UI" w:cs="Segoe UI" w:hAnsi="Segoe UI"/>
      <w:sz w:val="18"/>
      <w:szCs w:val="18"/>
      <w:lang w:val="en-ZA"/>
    </w:rPr>
  </w:style>
  <w:style w:type="character" w:styleId="Strong">
    <w:name w:val="Strong"/>
    <w:basedOn w:val="DefaultParagraphFont"/>
    <w:uiPriority w:val="22"/>
    <w:qFormat w:val="1"/>
    <w:rsid w:val="00D433E4"/>
    <w:rPr>
      <w:b w:val="1"/>
      <w:bCs w:val="1"/>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unicef.org/protection/female-genital-mutilation"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4chRo2FLIR97o7EXSywrghWlwig==">AMUW2mWUvgFIA2bNSm+SZaVcffby16UNHxg/SDxgUOKzpPJJiixxb8lRSQbQgoDoSBdDjtb4vCMwceKDcF5VSwjuu+9YzYYQnmZFz7pgPfvhfnCCruhSQzkIwBkx2Mvr8MpBrEhAGKKq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2019-04-02T07:47:00Z</dcterms:created>
  <dc:creator>Roy Tjan</dc:creator>
</cp:coreProperties>
</file>